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300"/>
        <w:jc w:val="center"/>
      </w:pPr>
      <w:r>
        <w:rPr>
          <w:b/>
          <w:bCs/>
          <w:color w:val="1F3864"/>
          <w:sz w:val="34"/>
          <w:szCs w:val="34"/>
        </w:rPr>
        <w:t xml:space="preserve">TUTORIAL DE USO</w:t>
      </w:r>
    </w:p>
    <w:p>
      <w:pPr>
        <w:spacing w:after="40"/>
        <w:jc w:val="center"/>
      </w:pPr>
      <w:r>
        <w:rPr>
          <w:b/>
          <w:bCs/>
          <w:color w:val="17284A"/>
          <w:sz w:val="22"/>
          <w:szCs w:val="22"/>
        </w:rPr>
        <w:t xml:space="preserve">CALCULADORA DE PLANILLA — CONTRIBUCIONES CSS</w:t>
      </w:r>
    </w:p>
    <w:p>
      <w:pPr>
        <w:spacing w:after="240"/>
        <w:jc w:val="center"/>
      </w:pPr>
      <w:r>
        <w:rPr>
          <w:color w:val="555555"/>
          <w:sz w:val="18"/>
          <w:szCs w:val="18"/>
        </w:rPr>
        <w:t xml:space="preserve">Tributación Empresarial Panamá 360 · Aportación Patronal vs. Personal</w:t>
      </w:r>
    </w:p>
    <w:tbl>
      <w:tblPr>
        <w:tblW w:type="dxa" w:w="10456"/>
        <w:tblBorders>
          <w:top w:val="single" w:color="E0A800" w:sz="6"/>
          <w:left w:val="single" w:color="E0A800" w:sz="6"/>
          <w:bottom w:val="single" w:color="E0A800" w:sz="6"/>
          <w:right w:val="single" w:color="E0A800" w:sz="6"/>
          <w:insideH w:val="single" w:color="auto" w:sz="4"/>
          <w:insideV w:val="single" w:color="auto" w:sz="4"/>
        </w:tblBorders>
      </w:tblPr>
      <w:tblGrid>
        <w:gridCol w:w="100"/>
      </w:tblGrid>
      <w:tr>
        <w:tc>
          <w:tcPr>
            <w:tcW w:type="dxa" w:w="10456"/>
            <w:shd w:fill="FFF3CD" w:color="auto" w:val="clear"/>
            <w:tcMar>
              <w:top w:type="dxa" w:w="120"/>
              <w:left w:type="dxa" w:w="180"/>
              <w:bottom w:type="dxa" w:w="120"/>
              <w:right w:type="dxa" w:w="180"/>
            </w:tcMar>
          </w:tcPr>
          <w:p>
            <w:pPr>
              <w:spacing w:after="60"/>
            </w:pPr>
            <w:r>
              <w:rPr>
                <w:b/>
                <w:bCs/>
                <w:color w:val="1A1A1A"/>
                <w:sz w:val="18"/>
                <w:szCs w:val="18"/>
              </w:rPr>
              <w:t xml:space="preserve">📌  Qué es esta calculadora</w:t>
            </w:r>
          </w:p>
          <w:p>
            <w:r>
              <w:rPr>
                <w:color w:val="333333"/>
                <w:sz w:val="17"/>
                <w:szCs w:val="17"/>
              </w:rPr>
              <w:t xml:space="preserve">Es una herramienta interactiva (no un formulario para llenar) que muestra en tiempo real cómo se dividen las cuotas de la Caja de Seguro Social entre lo que se descuenta al trabajador y lo que aporta la empresa, cómo se aplica sobre una planilla real con varios trabajadores, y cuándo hay que declarar y pagar. No está conectada al sistema SIPE real.</w:t>
            </w:r>
          </w:p>
        </w:tc>
      </w:tr>
    </w:tbl>
    <w:p>
      <w:pPr>
        <w:spacing w:before="260"/>
      </w:pPr>
    </w:p>
    <w:tbl>
      <w:tblPr>
        <w:tblW w:type="dxa" w:w="10456"/>
        <w:tblBorders>
          <w:top w:val="single" w:color="1F3864" w:sz="4"/>
          <w:left w:val="single" w:color="1F3864" w:sz="4"/>
          <w:bottom w:val="single" w:color="1F3864" w:sz="4"/>
          <w:right w:val="single" w:color="1F3864" w:sz="4"/>
          <w:insideH w:val="none" w:color="auto" w:sz="0"/>
          <w:insideV w:val="none" w:color="auto" w:sz="0"/>
        </w:tblBorders>
      </w:tblPr>
      <w:tblGrid>
        <w:gridCol w:w="100"/>
      </w:tblGrid>
      <w:tr>
        <w:tc>
          <w:tcPr>
            <w:tcW w:type="dxa" w:w="10456"/>
            <w:shd w:fill="1F3864" w:color="auto" w:val="clear"/>
            <w:tcMar>
              <w:top w:type="dxa" w:w="140"/>
              <w:left w:type="dxa" w:w="200"/>
              <w:bottom w:type="dxa" w:w="140"/>
              <w:right w:type="dxa" w:w="200"/>
            </w:tcMar>
          </w:tcPr>
          <w:p>
            <w:r>
              <w:rPr>
                <w:b/>
                <w:bCs/>
                <w:color w:val="9FC5E8"/>
                <w:sz w:val="20"/>
                <w:szCs w:val="20"/>
              </w:rPr>
              <w:t xml:space="preserve">SECCIÓN 00   </w:t>
            </w:r>
            <w:r>
              <w:rPr>
                <w:b/>
                <w:bCs/>
                <w:color w:val="FFFFFF"/>
                <w:sz w:val="20"/>
                <w:szCs w:val="20"/>
              </w:rPr>
              <w:t xml:space="preserve">ANTES DE EMPEZAR</w:t>
            </w:r>
          </w:p>
        </w:tc>
      </w:tr>
    </w:tbl>
    <w:p>
      <w:pPr>
        <w:spacing w:after="100" w:before="0"/>
        <w:jc w:val="left"/>
      </w:pPr>
      <w:r>
        <w:rPr>
          <w:b w:val="false"/>
          <w:bCs w:val="false"/>
          <w:i w:val="false"/>
          <w:iCs w:val="false"/>
          <w:color w:val="1A1A1A"/>
          <w:sz w:val="18"/>
          <w:szCs w:val="18"/>
        </w:rPr>
        <w:t xml:space="preserve">Archivo: calculadora_planilla_css.html — se abre en cualquier navegador, sin necesidad de internet para funcionar.</w:t>
      </w:r>
    </w:p>
    <w:p>
      <w:pPr>
        <w:spacing w:after="100" w:before="0"/>
        <w:jc w:val="left"/>
      </w:pPr>
      <w:r>
        <w:rPr>
          <w:b w:val="false"/>
          <w:bCs w:val="false"/>
          <w:i w:val="false"/>
          <w:iCs w:val="false"/>
          <w:color w:val="1A1A1A"/>
          <w:sz w:val="18"/>
          <w:szCs w:val="18"/>
        </w:rPr>
        <w:t xml:space="preserve">Tiempo estimado: 15–20 minutos.</w:t>
      </w:r>
    </w:p>
    <w:p>
      <w:pPr>
        <w:spacing w:after="100" w:before="0"/>
        <w:jc w:val="left"/>
      </w:pPr>
      <w:r>
        <w:rPr>
          <w:b w:val="false"/>
          <w:bCs w:val="false"/>
          <w:i w:val="false"/>
          <w:iCs w:val="false"/>
          <w:color w:val="1A1A1A"/>
          <w:sz w:val="18"/>
          <w:szCs w:val="18"/>
        </w:rPr>
        <w:t xml:space="preserve">La calculadora tiene 3 secciones y todos los valores son editables — puedes usarla tantas veces como quieras con distintos salarios y actividades económicas.</w:t>
      </w:r>
    </w:p>
    <w:p>
      <w:pPr>
        <w:spacing w:before="260"/>
      </w:pPr>
    </w:p>
    <w:tbl>
      <w:tblPr>
        <w:tblW w:type="dxa" w:w="10456"/>
        <w:tblBorders>
          <w:top w:val="single" w:color="1F3864" w:sz="4"/>
          <w:left w:val="single" w:color="1F3864" w:sz="4"/>
          <w:bottom w:val="single" w:color="1F3864" w:sz="4"/>
          <w:right w:val="single" w:color="1F3864" w:sz="4"/>
          <w:insideH w:val="none" w:color="auto" w:sz="0"/>
          <w:insideV w:val="none" w:color="auto" w:sz="0"/>
        </w:tblBorders>
      </w:tblPr>
      <w:tblGrid>
        <w:gridCol w:w="100"/>
      </w:tblGrid>
      <w:tr>
        <w:tc>
          <w:tcPr>
            <w:tcW w:type="dxa" w:w="10456"/>
            <w:shd w:fill="1F3864" w:color="auto" w:val="clear"/>
            <w:tcMar>
              <w:top w:type="dxa" w:w="140"/>
              <w:left w:type="dxa" w:w="200"/>
              <w:bottom w:type="dxa" w:w="140"/>
              <w:right w:type="dxa" w:w="200"/>
            </w:tcMar>
          </w:tcPr>
          <w:p>
            <w:r>
              <w:rPr>
                <w:b/>
                <w:bCs/>
                <w:color w:val="9FC5E8"/>
                <w:sz w:val="20"/>
                <w:szCs w:val="20"/>
              </w:rPr>
              <w:t xml:space="preserve">SECCIÓN 1   </w:t>
            </w:r>
            <w:r>
              <w:rPr>
                <w:b/>
                <w:bCs/>
                <w:color w:val="FFFFFF"/>
                <w:sz w:val="20"/>
                <w:szCs w:val="20"/>
              </w:rPr>
              <w:t xml:space="preserve">APORTACIÓN PATRONAL VS. APORTACIÓN PERSONAL</w:t>
            </w:r>
          </w:p>
        </w:tc>
      </w:tr>
    </w:tbl>
    <w:p>
      <w:pPr>
        <w:spacing w:after="100" w:before="0"/>
        <w:jc w:val="left"/>
      </w:pPr>
      <w:r>
        <w:rPr>
          <w:b w:val="false"/>
          <w:bCs w:val="false"/>
          <w:i w:val="false"/>
          <w:iCs w:val="false"/>
          <w:color w:val="1A1A1A"/>
          <w:sz w:val="18"/>
          <w:szCs w:val="18"/>
        </w:rPr>
        <w:t xml:space="preserve">En esta sección ingresas un salario mensual bruto (escribiéndolo directamente o moviendo el deslizador) y seleccionas la actividad económica de la empresa. La calculadora muestra, lado a lado, dos tarjetas:</w:t>
      </w:r>
    </w:p>
    <w:p>
      <w:pPr>
        <w:spacing w:after="40" w:before="0"/>
        <w:jc w:val="left"/>
      </w:pPr>
      <w:r>
        <w:rPr>
          <w:b w:val="false"/>
          <w:bCs w:val="false"/>
          <w:i w:val="false"/>
          <w:iCs w:val="false"/>
          <w:color w:val="1A1A1A"/>
          <w:sz w:val="18"/>
          <w:szCs w:val="18"/>
        </w:rPr>
        <w:t xml:space="preserve">• Aportación Patronal (izquierda, azul) — lo que la empresa paga adicionalmente, de su propio bolsillo: 12.25% IVM + 1.50% Seguro Educativo + la tasa de Riesgo Profesional según la actividad seleccionada.</w:t>
      </w:r>
    </w:p>
    <w:p>
      <w:pPr>
        <w:spacing w:after="100" w:before="0"/>
        <w:jc w:val="left"/>
      </w:pPr>
      <w:r>
        <w:rPr>
          <w:b w:val="false"/>
          <w:bCs w:val="false"/>
          <w:i w:val="false"/>
          <w:iCs w:val="false"/>
          <w:color w:val="1A1A1A"/>
          <w:sz w:val="18"/>
          <w:szCs w:val="18"/>
        </w:rPr>
        <w:t xml:space="preserve">• Aportación Personal (derecha, dorada) — lo que se le descuenta al trabajador de su propio salario: 9.75% IVM + 1.25% Seguro Educativo, para un 11% total.</w:t>
      </w:r>
    </w:p>
    <w:tbl>
      <w:tblPr>
        <w:tblW w:type="dxa" w:w="10456"/>
        <w:tblBorders>
          <w:top w:val="single" w:color="E0A800" w:sz="6"/>
          <w:left w:val="single" w:color="E0A800" w:sz="6"/>
          <w:bottom w:val="single" w:color="E0A800" w:sz="6"/>
          <w:right w:val="single" w:color="E0A800" w:sz="6"/>
          <w:insideH w:val="single" w:color="auto" w:sz="4"/>
          <w:insideV w:val="single" w:color="auto" w:sz="4"/>
        </w:tblBorders>
      </w:tblPr>
      <w:tblGrid>
        <w:gridCol w:w="100"/>
      </w:tblGrid>
      <w:tr>
        <w:tc>
          <w:tcPr>
            <w:tcW w:type="dxa" w:w="10456"/>
            <w:shd w:fill="FFF3CD" w:color="auto" w:val="clear"/>
            <w:tcMar>
              <w:top w:type="dxa" w:w="120"/>
              <w:left w:type="dxa" w:w="180"/>
              <w:bottom w:type="dxa" w:w="120"/>
              <w:right w:type="dxa" w:w="180"/>
            </w:tcMar>
          </w:tcPr>
          <w:p>
            <w:pPr>
              <w:spacing w:after="60"/>
            </w:pPr>
            <w:r>
              <w:rPr>
                <w:b/>
                <w:bCs/>
                <w:color w:val="1A1A1A"/>
                <w:sz w:val="18"/>
                <w:szCs w:val="18"/>
              </w:rPr>
              <w:t xml:space="preserve">🔑  La diferencia clave</w:t>
            </w:r>
          </w:p>
          <w:p>
            <w:r>
              <w:rPr>
                <w:color w:val="333333"/>
                <w:sz w:val="17"/>
                <w:szCs w:val="17"/>
              </w:rPr>
              <w:t xml:space="preserve">La cuota patronal NO sale del salario del trabajador — es un costo adicional 100% a cargo de la empresa. La cuota personal SÍ se descuenta directamente del salario bruto. El banner debajo de las dos tarjetas te muestra cuánto le cuesta en total ese salario a la empresa (salario + aporte patronal) y cuánto recibe en mano el trabajador (antes del ISR).</w:t>
            </w:r>
          </w:p>
        </w:tc>
      </w:tr>
    </w:tbl>
    <w:p>
      <w:pPr>
        <w:spacing w:before="260"/>
      </w:pPr>
    </w:p>
    <w:tbl>
      <w:tblPr>
        <w:tblW w:type="dxa" w:w="10456"/>
        <w:tblBorders>
          <w:top w:val="single" w:color="1F3864" w:sz="4"/>
          <w:left w:val="single" w:color="1F3864" w:sz="4"/>
          <w:bottom w:val="single" w:color="1F3864" w:sz="4"/>
          <w:right w:val="single" w:color="1F3864" w:sz="4"/>
          <w:insideH w:val="none" w:color="auto" w:sz="0"/>
          <w:insideV w:val="none" w:color="auto" w:sz="0"/>
        </w:tblBorders>
      </w:tblPr>
      <w:tblGrid>
        <w:gridCol w:w="100"/>
      </w:tblGrid>
      <w:tr>
        <w:tc>
          <w:tcPr>
            <w:tcW w:type="dxa" w:w="10456"/>
            <w:shd w:fill="1F3864" w:color="auto" w:val="clear"/>
            <w:tcMar>
              <w:top w:type="dxa" w:w="140"/>
              <w:left w:type="dxa" w:w="200"/>
              <w:bottom w:type="dxa" w:w="140"/>
              <w:right w:type="dxa" w:w="200"/>
            </w:tcMar>
          </w:tcPr>
          <w:p>
            <w:r>
              <w:rPr>
                <w:b/>
                <w:bCs/>
                <w:color w:val="9FC5E8"/>
                <w:sz w:val="20"/>
                <w:szCs w:val="20"/>
              </w:rPr>
              <w:t xml:space="preserve">SECCIÓN 2   </w:t>
            </w:r>
            <w:r>
              <w:rPr>
                <w:b/>
                <w:bCs/>
                <w:color w:val="FFFFFF"/>
                <w:sz w:val="20"/>
                <w:szCs w:val="20"/>
              </w:rPr>
              <w:t xml:space="preserve">CÓMO SE CALCULA SOBRE UNA PLANILLA REAL</w:t>
            </w:r>
          </w:p>
        </w:tc>
      </w:tr>
    </w:tbl>
    <w:p>
      <w:pPr>
        <w:spacing w:after="100" w:before="0"/>
        <w:jc w:val="left"/>
      </w:pPr>
      <w:r>
        <w:rPr>
          <w:b w:val="false"/>
          <w:bCs w:val="false"/>
          <w:i w:val="false"/>
          <w:iCs w:val="false"/>
          <w:color w:val="1A1A1A"/>
          <w:sz w:val="18"/>
          <w:szCs w:val="18"/>
        </w:rPr>
        <w:t xml:space="preserve">Esta tabla simula una planilla mensual con varios trabajadores, tal como se prepara antes de cargarla al SIPE. Viene precargada con 4 trabajadores de ejemplo — puedes editar sus nombres y salarios, agregar más con '+ Agregar trabajador', o eliminar filas con el botón 'Eliminar'.</w:t>
      </w:r>
    </w:p>
    <w:p>
      <w:pPr>
        <w:spacing w:after="60" w:before="0"/>
        <w:jc w:val="left"/>
      </w:pPr>
      <w:r>
        <w:rPr>
          <w:b w:val="false"/>
          <w:bCs w:val="false"/>
          <w:i w:val="false"/>
          <w:iCs w:val="false"/>
          <w:color w:val="1A1A1A"/>
          <w:sz w:val="18"/>
          <w:szCs w:val="18"/>
        </w:rPr>
        <w:t xml:space="preserve">Cada fila calcula automáticamente:</w:t>
      </w:r>
    </w:p>
    <w:p>
      <w:pPr>
        <w:spacing w:after="40" w:before="0"/>
        <w:jc w:val="left"/>
      </w:pPr>
      <w:r>
        <w:rPr>
          <w:b w:val="false"/>
          <w:bCs w:val="false"/>
          <w:i w:val="false"/>
          <w:iCs w:val="false"/>
          <w:color w:val="1A1A1A"/>
          <w:sz w:val="18"/>
          <w:szCs w:val="18"/>
        </w:rPr>
        <w:t xml:space="preserve">• Cuota personal (11%) — se descuenta del salario bruto.</w:t>
      </w:r>
    </w:p>
    <w:p>
      <w:pPr>
        <w:spacing w:after="40" w:before="0"/>
        <w:jc w:val="left"/>
      </w:pPr>
      <w:r>
        <w:rPr>
          <w:b w:val="false"/>
          <w:bCs w:val="false"/>
          <w:i w:val="false"/>
          <w:iCs w:val="false"/>
          <w:color w:val="1A1A1A"/>
          <w:sz w:val="18"/>
          <w:szCs w:val="18"/>
        </w:rPr>
        <w:t xml:space="preserve">• Salario neto (antes de ISR) — lo que recibe el trabajador después del descuento de CSS.</w:t>
      </w:r>
    </w:p>
    <w:p>
      <w:pPr>
        <w:spacing w:after="40" w:before="0"/>
        <w:jc w:val="left"/>
      </w:pPr>
      <w:r>
        <w:rPr>
          <w:b w:val="false"/>
          <w:bCs w:val="false"/>
          <w:i w:val="false"/>
          <w:iCs w:val="false"/>
          <w:color w:val="1A1A1A"/>
          <w:sz w:val="18"/>
          <w:szCs w:val="18"/>
        </w:rPr>
        <w:t xml:space="preserve">• Cuota patronal — según la actividad económica seleccionada arriba de la tabla.</w:t>
      </w:r>
    </w:p>
    <w:p>
      <w:pPr>
        <w:spacing w:after="100" w:before="0"/>
        <w:jc w:val="left"/>
      </w:pPr>
      <w:r>
        <w:rPr>
          <w:b w:val="false"/>
          <w:bCs w:val="false"/>
          <w:i w:val="false"/>
          <w:iCs w:val="false"/>
          <w:color w:val="1A1A1A"/>
          <w:sz w:val="18"/>
          <w:szCs w:val="18"/>
        </w:rPr>
        <w:t xml:space="preserve">• Costo total para la empresa — salario bruto + cuota patronal.</w:t>
      </w:r>
    </w:p>
    <w:tbl>
      <w:tblPr>
        <w:tblW w:type="dxa" w:w="10456"/>
        <w:tblBorders>
          <w:top w:val="single" w:color="E0A800" w:sz="6"/>
          <w:left w:val="single" w:color="E0A800" w:sz="6"/>
          <w:bottom w:val="single" w:color="E0A800" w:sz="6"/>
          <w:right w:val="single" w:color="E0A800" w:sz="6"/>
          <w:insideH w:val="single" w:color="auto" w:sz="4"/>
          <w:insideV w:val="single" w:color="auto" w:sz="4"/>
        </w:tblBorders>
      </w:tblPr>
      <w:tblGrid>
        <w:gridCol w:w="100"/>
      </w:tblGrid>
      <w:tr>
        <w:tc>
          <w:tcPr>
            <w:tcW w:type="dxa" w:w="10456"/>
            <w:shd w:fill="FFF3CD" w:color="auto" w:val="clear"/>
            <w:tcMar>
              <w:top w:type="dxa" w:w="120"/>
              <w:left w:type="dxa" w:w="180"/>
              <w:bottom w:type="dxa" w:w="120"/>
              <w:right w:type="dxa" w:w="180"/>
            </w:tcMar>
          </w:tcPr>
          <w:p>
            <w:pPr>
              <w:spacing w:after="60"/>
            </w:pPr>
            <w:r>
              <w:rPr>
                <w:b/>
                <w:bCs/>
                <w:color w:val="1A1A1A"/>
                <w:sz w:val="18"/>
                <w:szCs w:val="18"/>
              </w:rPr>
              <w:t xml:space="preserve">ℹ️  Esto no incluye el ISR</w:t>
            </w:r>
          </w:p>
          <w:p>
            <w:r>
              <w:rPr>
                <w:color w:val="333333"/>
                <w:sz w:val="17"/>
                <w:szCs w:val="17"/>
              </w:rPr>
              <w:t xml:space="preserve">El cálculo de esta calculadora es previo al Impuesto Sobre la Renta. La retención de ISR se calcula aparte, sobre la renta neta gravable de cada trabajador — para practicar eso, usa el Simulador del Formulario 03.</w:t>
            </w:r>
          </w:p>
        </w:tc>
      </w:tr>
    </w:tbl>
    <w:p>
      <w:pPr>
        <w:spacing w:before="260"/>
      </w:pPr>
    </w:p>
    <w:tbl>
      <w:tblPr>
        <w:tblW w:type="dxa" w:w="10456"/>
        <w:tblBorders>
          <w:top w:val="single" w:color="1F3864" w:sz="4"/>
          <w:left w:val="single" w:color="1F3864" w:sz="4"/>
          <w:bottom w:val="single" w:color="1F3864" w:sz="4"/>
          <w:right w:val="single" w:color="1F3864" w:sz="4"/>
          <w:insideH w:val="none" w:color="auto" w:sz="0"/>
          <w:insideV w:val="none" w:color="auto" w:sz="0"/>
        </w:tblBorders>
      </w:tblPr>
      <w:tblGrid>
        <w:gridCol w:w="100"/>
      </w:tblGrid>
      <w:tr>
        <w:tc>
          <w:tcPr>
            <w:tcW w:type="dxa" w:w="10456"/>
            <w:shd w:fill="1F3864" w:color="auto" w:val="clear"/>
            <w:tcMar>
              <w:top w:type="dxa" w:w="140"/>
              <w:left w:type="dxa" w:w="200"/>
              <w:bottom w:type="dxa" w:w="140"/>
              <w:right w:type="dxa" w:w="200"/>
            </w:tcMar>
          </w:tcPr>
          <w:p>
            <w:r>
              <w:rPr>
                <w:b/>
                <w:bCs/>
                <w:color w:val="9FC5E8"/>
                <w:sz w:val="20"/>
                <w:szCs w:val="20"/>
              </w:rPr>
              <w:t xml:space="preserve">SECCIÓN 3   </w:t>
            </w:r>
            <w:r>
              <w:rPr>
                <w:b/>
                <w:bCs/>
                <w:color w:val="FFFFFF"/>
                <w:sz w:val="20"/>
                <w:szCs w:val="20"/>
              </w:rPr>
              <w:t xml:space="preserve">CUÁNDO DECLARAR Y PAGAR</w:t>
            </w:r>
          </w:p>
        </w:tc>
      </w:tr>
    </w:tbl>
    <w:p>
      <w:pPr>
        <w:spacing w:after="100" w:before="0"/>
        <w:jc w:val="left"/>
      </w:pPr>
      <w:r>
        <w:rPr>
          <w:b w:val="false"/>
          <w:bCs w:val="false"/>
          <w:i w:val="false"/>
          <w:iCs w:val="false"/>
          <w:color w:val="1A1A1A"/>
          <w:sz w:val="18"/>
          <w:szCs w:val="18"/>
        </w:rPr>
        <w:t xml:space="preserve">Esta sección presenta una línea de tiempo con las 5 etapas del cumplimiento ante la CSS:</w:t>
      </w:r>
    </w:p>
    <w:tbl>
      <w:tblPr>
        <w:tblW w:type="dxa" w:w="10456"/>
        <w:tblBorders>
          <w:top w:val="single" w:color="9AA5B1" w:sz="4"/>
          <w:left w:val="single" w:color="9AA5B1" w:sz="4"/>
          <w:bottom w:val="single" w:color="9AA5B1" w:sz="4"/>
          <w:right w:val="single" w:color="9AA5B1" w:sz="4"/>
          <w:insideH w:val="single" w:color="auto" w:sz="4"/>
          <w:insideV w:val="single" w:color="auto" w:sz="4"/>
        </w:tblBorders>
      </w:tblPr>
      <w:tblGrid>
        <w:gridCol w:w="1400"/>
        <w:gridCol w:w="9056"/>
      </w:tblGrid>
      <w:tr>
        <w:tc>
          <w:tcPr>
            <w:tcW w:type="dxa" w:w="1400"/>
            <w:tcBorders>
              <w:top w:val="single" w:color="9AA5B1" w:sz="4"/>
              <w:left w:val="single" w:color="9AA5B1" w:sz="4"/>
              <w:bottom w:val="single" w:color="9AA5B1" w:sz="4"/>
              <w:right w:val="single" w:color="9AA5B1" w:sz="4"/>
            </w:tcBorders>
            <w:shd w:fill="1F3864" w:color="auto" w:val="clear"/>
            <w:tcMar>
              <w:top w:type="dxa" w:w="100"/>
              <w:left w:type="dxa" w:w="120"/>
              <w:bottom w:type="dxa" w:w="100"/>
              <w:right w:type="dxa" w:w="120"/>
            </w:tcMar>
            <w:vAlign w:val="center"/>
          </w:tcPr>
          <w:p>
            <w:pPr>
              <w:jc w:val="center"/>
            </w:pPr>
            <w:r>
              <w:rPr>
                <w:b/>
                <w:bCs/>
                <w:color w:val="FFFFFF"/>
                <w:sz w:val="18"/>
                <w:szCs w:val="18"/>
              </w:rPr>
              <w:t xml:space="preserve">Etapa</w:t>
            </w:r>
          </w:p>
        </w:tc>
        <w:tc>
          <w:tcPr>
            <w:tcW w:type="dxa" w:w="9056"/>
            <w:tcBorders>
              <w:top w:val="single" w:color="9AA5B1" w:sz="4"/>
              <w:left w:val="single" w:color="9AA5B1" w:sz="4"/>
              <w:bottom w:val="single" w:color="9AA5B1" w:sz="4"/>
              <w:right w:val="single" w:color="9AA5B1" w:sz="4"/>
            </w:tcBorders>
            <w:shd w:fill="1F3864" w:color="auto" w:val="clear"/>
            <w:tcMar>
              <w:top w:type="dxa" w:w="100"/>
              <w:left w:type="dxa" w:w="120"/>
              <w:bottom w:type="dxa" w:w="100"/>
              <w:right w:type="dxa" w:w="120"/>
            </w:tcMar>
            <w:vAlign w:val="center"/>
          </w:tcPr>
          <w:p>
            <w:pPr>
              <w:jc w:val="center"/>
            </w:pPr>
            <w:r>
              <w:rPr>
                <w:b/>
                <w:bCs/>
                <w:color w:val="FFFFFF"/>
                <w:sz w:val="18"/>
                <w:szCs w:val="18"/>
              </w:rPr>
              <w:t xml:space="preserve">Qué implica</w:t>
            </w:r>
          </w:p>
        </w:tc>
      </w:tr>
      <w:tr>
        <w:tc>
          <w:tcPr>
            <w:tcW w:type="dxa" w:w="1400"/>
            <w:tcBorders>
              <w:top w:val="single" w:color="9AA5B1" w:sz="4"/>
              <w:left w:val="single" w:color="9AA5B1" w:sz="4"/>
              <w:bottom w:val="single" w:color="9AA5B1" w:sz="4"/>
              <w:right w:val="single" w:color="9AA5B1" w:sz="4"/>
            </w:tcBorders>
            <w:tcMar>
              <w:top w:type="dxa" w:w="100"/>
              <w:left w:type="dxa" w:w="120"/>
              <w:bottom w:type="dxa" w:w="100"/>
              <w:right w:type="dxa" w:w="120"/>
            </w:tcMar>
            <w:vAlign w:val="center"/>
          </w:tcPr>
          <w:p>
            <w:pPr>
              <w:spacing w:after="60" w:before="0"/>
              <w:jc w:val="left"/>
            </w:pPr>
            <w:r>
              <w:rPr>
                <w:b/>
                <w:bCs/>
                <w:i w:val="false"/>
                <w:iCs w:val="false"/>
                <w:color w:val="1A1A1A"/>
                <w:sz w:val="17"/>
                <w:szCs w:val="17"/>
              </w:rPr>
              <w:t xml:space="preserve">1. Inscripción</w:t>
            </w:r>
          </w:p>
        </w:tc>
        <w:tc>
          <w:tcPr>
            <w:tcW w:type="dxa" w:w="9056"/>
            <w:tcBorders>
              <w:top w:val="single" w:color="9AA5B1" w:sz="4"/>
              <w:left w:val="single" w:color="9AA5B1" w:sz="4"/>
              <w:bottom w:val="single" w:color="9AA5B1" w:sz="4"/>
              <w:right w:val="single" w:color="9AA5B1" w:sz="4"/>
            </w:tcBorders>
            <w:tcMar>
              <w:top w:type="dxa" w:w="100"/>
              <w:left w:type="dxa" w:w="120"/>
              <w:bottom w:type="dxa" w:w="100"/>
              <w:right w:type="dxa" w:w="120"/>
            </w:tcMar>
            <w:vAlign w:val="center"/>
          </w:tcPr>
          <w:p>
            <w:pPr>
              <w:spacing w:after="60" w:before="0"/>
              <w:jc w:val="left"/>
            </w:pPr>
            <w:r>
              <w:rPr>
                <w:b w:val="false"/>
                <w:bCs w:val="false"/>
                <w:i w:val="false"/>
                <w:iCs w:val="false"/>
                <w:color w:val="1A1A1A"/>
                <w:sz w:val="17"/>
                <w:szCs w:val="17"/>
              </w:rPr>
              <w:t xml:space="preserve">Dentro de los 3 días hábiles siguientes a contratar al primer trabajador, la empresa se inscribe como patrono ante la CSS.</w:t>
            </w:r>
          </w:p>
        </w:tc>
      </w:tr>
      <w:tr>
        <w:tc>
          <w:tcPr>
            <w:tcW w:type="dxa" w:w="1400"/>
            <w:tcBorders>
              <w:top w:val="single" w:color="9AA5B1" w:sz="4"/>
              <w:left w:val="single" w:color="9AA5B1" w:sz="4"/>
              <w:bottom w:val="single" w:color="9AA5B1" w:sz="4"/>
              <w:right w:val="single" w:color="9AA5B1" w:sz="4"/>
            </w:tcBorders>
            <w:shd w:fill="F2F2F2" w:color="auto" w:val="clear"/>
            <w:tcMar>
              <w:top w:type="dxa" w:w="100"/>
              <w:left w:type="dxa" w:w="120"/>
              <w:bottom w:type="dxa" w:w="100"/>
              <w:right w:type="dxa" w:w="120"/>
            </w:tcMar>
            <w:vAlign w:val="center"/>
          </w:tcPr>
          <w:p>
            <w:pPr>
              <w:spacing w:after="60" w:before="0"/>
              <w:jc w:val="left"/>
            </w:pPr>
            <w:r>
              <w:rPr>
                <w:b/>
                <w:bCs/>
                <w:i w:val="false"/>
                <w:iCs w:val="false"/>
                <w:color w:val="1A1A1A"/>
                <w:sz w:val="17"/>
                <w:szCs w:val="17"/>
              </w:rPr>
              <w:t xml:space="preserve">2. Reporte de novedades</w:t>
            </w:r>
          </w:p>
        </w:tc>
        <w:tc>
          <w:tcPr>
            <w:tcW w:type="dxa" w:w="9056"/>
            <w:tcBorders>
              <w:top w:val="single" w:color="9AA5B1" w:sz="4"/>
              <w:left w:val="single" w:color="9AA5B1" w:sz="4"/>
              <w:bottom w:val="single" w:color="9AA5B1" w:sz="4"/>
              <w:right w:val="single" w:color="9AA5B1" w:sz="4"/>
            </w:tcBorders>
            <w:shd w:fill="F2F2F2" w:color="auto" w:val="clear"/>
            <w:tcMar>
              <w:top w:type="dxa" w:w="100"/>
              <w:left w:type="dxa" w:w="120"/>
              <w:bottom w:type="dxa" w:w="100"/>
              <w:right w:type="dxa" w:w="120"/>
            </w:tcMar>
            <w:vAlign w:val="center"/>
          </w:tcPr>
          <w:p>
            <w:pPr>
              <w:spacing w:after="60" w:before="0"/>
              <w:jc w:val="left"/>
            </w:pPr>
            <w:r>
              <w:rPr>
                <w:b w:val="false"/>
                <w:bCs w:val="false"/>
                <w:i w:val="false"/>
                <w:iCs w:val="false"/>
                <w:color w:val="1A1A1A"/>
                <w:sz w:val="17"/>
                <w:szCs w:val="17"/>
              </w:rPr>
              <w:t xml:space="preserve">Cada ingreso, salida o cambio salarial se reporta al SIPE apenas ocurre.</w:t>
            </w:r>
          </w:p>
        </w:tc>
      </w:tr>
      <w:tr>
        <w:tc>
          <w:tcPr>
            <w:tcW w:type="dxa" w:w="1400"/>
            <w:tcBorders>
              <w:top w:val="single" w:color="9AA5B1" w:sz="4"/>
              <w:left w:val="single" w:color="9AA5B1" w:sz="4"/>
              <w:bottom w:val="single" w:color="9AA5B1" w:sz="4"/>
              <w:right w:val="single" w:color="9AA5B1" w:sz="4"/>
            </w:tcBorders>
            <w:tcMar>
              <w:top w:type="dxa" w:w="100"/>
              <w:left w:type="dxa" w:w="120"/>
              <w:bottom w:type="dxa" w:w="100"/>
              <w:right w:type="dxa" w:w="120"/>
            </w:tcMar>
            <w:vAlign w:val="center"/>
          </w:tcPr>
          <w:p>
            <w:pPr>
              <w:spacing w:after="60" w:before="0"/>
              <w:jc w:val="left"/>
            </w:pPr>
            <w:r>
              <w:rPr>
                <w:b/>
                <w:bCs/>
                <w:i w:val="false"/>
                <w:iCs w:val="false"/>
                <w:color w:val="1A1A1A"/>
                <w:sz w:val="17"/>
                <w:szCs w:val="17"/>
              </w:rPr>
              <w:t xml:space="preserve">3. Declaración mensual</w:t>
            </w:r>
          </w:p>
        </w:tc>
        <w:tc>
          <w:tcPr>
            <w:tcW w:type="dxa" w:w="9056"/>
            <w:tcBorders>
              <w:top w:val="single" w:color="9AA5B1" w:sz="4"/>
              <w:left w:val="single" w:color="9AA5B1" w:sz="4"/>
              <w:bottom w:val="single" w:color="9AA5B1" w:sz="4"/>
              <w:right w:val="single" w:color="9AA5B1" w:sz="4"/>
            </w:tcBorders>
            <w:tcMar>
              <w:top w:type="dxa" w:w="100"/>
              <w:left w:type="dxa" w:w="120"/>
              <w:bottom w:type="dxa" w:w="100"/>
              <w:right w:type="dxa" w:w="120"/>
            </w:tcMar>
            <w:vAlign w:val="center"/>
          </w:tcPr>
          <w:p>
            <w:pPr>
              <w:spacing w:after="60" w:before="0"/>
              <w:jc w:val="left"/>
            </w:pPr>
            <w:r>
              <w:rPr>
                <w:b w:val="false"/>
                <w:bCs w:val="false"/>
                <w:i w:val="false"/>
                <w:iCs w:val="false"/>
                <w:color w:val="1A1A1A"/>
                <w:sz w:val="17"/>
                <w:szCs w:val="17"/>
              </w:rPr>
              <w:t xml:space="preserve">Del día 1 al 25 del mes siguiente al período trabajado (Art. 52, Reglamento General de Ingresos CSS).</w:t>
            </w:r>
          </w:p>
        </w:tc>
      </w:tr>
      <w:tr>
        <w:tc>
          <w:tcPr>
            <w:tcW w:type="dxa" w:w="1400"/>
            <w:tcBorders>
              <w:top w:val="single" w:color="9AA5B1" w:sz="4"/>
              <w:left w:val="single" w:color="9AA5B1" w:sz="4"/>
              <w:bottom w:val="single" w:color="9AA5B1" w:sz="4"/>
              <w:right w:val="single" w:color="9AA5B1" w:sz="4"/>
            </w:tcBorders>
            <w:shd w:fill="F2F2F2" w:color="auto" w:val="clear"/>
            <w:tcMar>
              <w:top w:type="dxa" w:w="100"/>
              <w:left w:type="dxa" w:w="120"/>
              <w:bottom w:type="dxa" w:w="100"/>
              <w:right w:type="dxa" w:w="120"/>
            </w:tcMar>
            <w:vAlign w:val="center"/>
          </w:tcPr>
          <w:p>
            <w:pPr>
              <w:spacing w:after="60" w:before="0"/>
              <w:jc w:val="left"/>
            </w:pPr>
            <w:r>
              <w:rPr>
                <w:b/>
                <w:bCs/>
                <w:i w:val="false"/>
                <w:iCs w:val="false"/>
                <w:color w:val="1A1A1A"/>
                <w:sz w:val="17"/>
                <w:szCs w:val="17"/>
              </w:rPr>
              <w:t xml:space="preserve">4. Pago de cuotas</w:t>
            </w:r>
          </w:p>
        </w:tc>
        <w:tc>
          <w:tcPr>
            <w:tcW w:type="dxa" w:w="9056"/>
            <w:tcBorders>
              <w:top w:val="single" w:color="9AA5B1" w:sz="4"/>
              <w:left w:val="single" w:color="9AA5B1" w:sz="4"/>
              <w:bottom w:val="single" w:color="9AA5B1" w:sz="4"/>
              <w:right w:val="single" w:color="9AA5B1" w:sz="4"/>
            </w:tcBorders>
            <w:shd w:fill="F2F2F2" w:color="auto" w:val="clear"/>
            <w:tcMar>
              <w:top w:type="dxa" w:w="100"/>
              <w:left w:type="dxa" w:w="120"/>
              <w:bottom w:type="dxa" w:w="100"/>
              <w:right w:type="dxa" w:w="120"/>
            </w:tcMar>
            <w:vAlign w:val="center"/>
          </w:tcPr>
          <w:p>
            <w:pPr>
              <w:spacing w:after="60" w:before="0"/>
              <w:jc w:val="left"/>
            </w:pPr>
            <w:r>
              <w:rPr>
                <w:b w:val="false"/>
                <w:bCs w:val="false"/>
                <w:i w:val="false"/>
                <w:iCs w:val="false"/>
                <w:color w:val="1A1A1A"/>
                <w:sz w:val="17"/>
                <w:szCs w:val="17"/>
              </w:rPr>
              <w:t xml:space="preserve">Dentro del mismo plazo que la declaración — presentar sin pagar no cumple la obligación.</w:t>
            </w:r>
          </w:p>
        </w:tc>
      </w:tr>
      <w:tr>
        <w:tc>
          <w:tcPr>
            <w:tcW w:type="dxa" w:w="1400"/>
            <w:tcBorders>
              <w:top w:val="single" w:color="9AA5B1" w:sz="4"/>
              <w:left w:val="single" w:color="9AA5B1" w:sz="4"/>
              <w:bottom w:val="single" w:color="9AA5B1" w:sz="4"/>
              <w:right w:val="single" w:color="9AA5B1" w:sz="4"/>
            </w:tcBorders>
            <w:tcMar>
              <w:top w:type="dxa" w:w="100"/>
              <w:left w:type="dxa" w:w="120"/>
              <w:bottom w:type="dxa" w:w="100"/>
              <w:right w:type="dxa" w:w="120"/>
            </w:tcMar>
            <w:vAlign w:val="center"/>
          </w:tcPr>
          <w:p>
            <w:pPr>
              <w:spacing w:after="60" w:before="0"/>
              <w:jc w:val="left"/>
            </w:pPr>
            <w:r>
              <w:rPr>
                <w:b/>
                <w:bCs/>
                <w:i w:val="false"/>
                <w:iCs w:val="false"/>
                <w:color w:val="1A1A1A"/>
                <w:sz w:val="17"/>
                <w:szCs w:val="17"/>
              </w:rPr>
              <w:t xml:space="preserve">5. Después del día 25</w:t>
            </w:r>
          </w:p>
        </w:tc>
        <w:tc>
          <w:tcPr>
            <w:tcW w:type="dxa" w:w="9056"/>
            <w:tcBorders>
              <w:top w:val="single" w:color="9AA5B1" w:sz="4"/>
              <w:left w:val="single" w:color="9AA5B1" w:sz="4"/>
              <w:bottom w:val="single" w:color="9AA5B1" w:sz="4"/>
              <w:right w:val="single" w:color="9AA5B1" w:sz="4"/>
            </w:tcBorders>
            <w:tcMar>
              <w:top w:type="dxa" w:w="100"/>
              <w:left w:type="dxa" w:w="120"/>
              <w:bottom w:type="dxa" w:w="100"/>
              <w:right w:type="dxa" w:w="120"/>
            </w:tcMar>
            <w:vAlign w:val="center"/>
          </w:tcPr>
          <w:p>
            <w:pPr>
              <w:spacing w:after="60" w:before="0"/>
              <w:jc w:val="left"/>
            </w:pPr>
            <w:r>
              <w:rPr>
                <w:b w:val="false"/>
                <w:bCs w:val="false"/>
                <w:i w:val="false"/>
                <w:iCs w:val="false"/>
                <w:color w:val="1A1A1A"/>
                <w:sz w:val="17"/>
                <w:szCs w:val="17"/>
              </w:rPr>
              <w:t xml:space="preserve">La planilla queda en mora: recargos, intereses, y riesgo de suspensión de servicios de salud para los trabajadores.</w:t>
            </w:r>
          </w:p>
        </w:tc>
      </w:tr>
    </w:tbl>
    <w:p>
      <w:pPr>
        <w:spacing w:before="260"/>
      </w:pPr>
    </w:p>
    <w:tbl>
      <w:tblPr>
        <w:tblW w:type="dxa" w:w="10456"/>
        <w:tblBorders>
          <w:top w:val="single" w:color="C0392B" w:sz="6"/>
          <w:left w:val="single" w:color="C0392B" w:sz="6"/>
          <w:bottom w:val="single" w:color="C0392B" w:sz="6"/>
          <w:right w:val="single" w:color="C0392B" w:sz="6"/>
          <w:insideH w:val="single" w:color="auto" w:sz="4"/>
          <w:insideV w:val="single" w:color="auto" w:sz="4"/>
        </w:tblBorders>
      </w:tblPr>
      <w:tblGrid>
        <w:gridCol w:w="100"/>
      </w:tblGrid>
      <w:tr>
        <w:tc>
          <w:tcPr>
            <w:tcW w:type="dxa" w:w="10456"/>
            <w:shd w:fill="FCE8E6" w:color="auto" w:val="clear"/>
            <w:tcMar>
              <w:top w:type="dxa" w:w="120"/>
              <w:left w:type="dxa" w:w="180"/>
              <w:bottom w:type="dxa" w:w="120"/>
              <w:right w:type="dxa" w:w="180"/>
            </w:tcMar>
          </w:tcPr>
          <w:p>
            <w:pPr>
              <w:spacing w:after="60"/>
            </w:pPr>
            <w:r>
              <w:rPr>
                <w:b/>
                <w:bCs/>
                <w:color w:val="1A1A1A"/>
                <w:sz w:val="18"/>
                <w:szCs w:val="18"/>
              </w:rPr>
              <w:t xml:space="preserve">⚠️  Consecuencias a tener presentes</w:t>
            </w:r>
          </w:p>
          <w:p>
            <w:r>
              <w:rPr>
                <w:color w:val="333333"/>
                <w:sz w:val="17"/>
                <w:szCs w:val="17"/>
              </w:rPr>
              <w:t xml:space="preserve">Declarar o pagar tarde genera recargos e intereses y puede afectar el Paz y Salvo de la empresa. No reportar a un trabajador expone a la empresa a pago retroactivo de cuotas más multas si la CSS lo detecta en una inspección.</w:t>
            </w:r>
          </w:p>
        </w:tc>
      </w:tr>
    </w:tbl>
    <w:tbl>
      <w:tblPr>
        <w:tblW w:type="dxa" w:w="10456"/>
        <w:tblBorders>
          <w:top w:val="single" w:color="E0A800" w:sz="6"/>
          <w:left w:val="single" w:color="E0A800" w:sz="6"/>
          <w:bottom w:val="single" w:color="E0A800" w:sz="6"/>
          <w:right w:val="single" w:color="E0A800" w:sz="6"/>
          <w:insideH w:val="single" w:color="auto" w:sz="4"/>
          <w:insideV w:val="single" w:color="auto" w:sz="4"/>
        </w:tblBorders>
      </w:tblPr>
      <w:tblGrid>
        <w:gridCol w:w="100"/>
      </w:tblGrid>
      <w:tr>
        <w:tc>
          <w:tcPr>
            <w:tcW w:type="dxa" w:w="10456"/>
            <w:shd w:fill="FFF3CD" w:color="auto" w:val="clear"/>
            <w:tcMar>
              <w:top w:type="dxa" w:w="120"/>
              <w:left w:type="dxa" w:w="180"/>
              <w:bottom w:type="dxa" w:w="120"/>
              <w:right w:type="dxa" w:w="180"/>
            </w:tcMar>
          </w:tcPr>
          <w:p>
            <w:pPr>
              <w:spacing w:after="60"/>
            </w:pPr>
            <w:r>
              <w:rPr>
                <w:b/>
                <w:bCs/>
                <w:color w:val="1A1A1A"/>
                <w:sz w:val="18"/>
                <w:szCs w:val="18"/>
              </w:rPr>
              <w:t xml:space="preserve">✓  Prórrogas</w:t>
            </w:r>
          </w:p>
          <w:p>
            <w:r>
              <w:rPr>
                <w:color w:val="333333"/>
                <w:sz w:val="17"/>
                <w:szCs w:val="17"/>
              </w:rPr>
              <w:t xml:space="preserve">La CSS puede conceder prórrogas para declarar o pagar la planilla mensual, previa evaluación de fuerza mayor o caso fortuito, sin generar multa por presentación tardía (Art. 47, Reglamento General de Ingresos CSS).</w:t>
            </w:r>
          </w:p>
        </w:tc>
      </w:tr>
    </w:tbl>
    <w:p>
      <w:pPr>
        <w:spacing w:before="300"/>
      </w:pPr>
    </w:p>
    <w:tbl>
      <w:tblPr>
        <w:tblW w:type="dxa" w:w="10456"/>
        <w:tblBorders>
          <w:top w:val="single" w:color="1F3864" w:sz="4"/>
          <w:left w:val="single" w:color="1F3864" w:sz="4"/>
          <w:bottom w:val="single" w:color="1F3864" w:sz="4"/>
          <w:right w:val="single" w:color="1F3864" w:sz="4"/>
          <w:insideH w:val="none" w:color="auto" w:sz="0"/>
          <w:insideV w:val="none" w:color="auto" w:sz="0"/>
        </w:tblBorders>
      </w:tblPr>
      <w:tblGrid>
        <w:gridCol w:w="100"/>
      </w:tblGrid>
      <w:tr>
        <w:tc>
          <w:tcPr>
            <w:tcW w:type="dxa" w:w="10456"/>
            <w:shd w:fill="1F3864" w:color="auto" w:val="clear"/>
            <w:tcMar>
              <w:top w:type="dxa" w:w="140"/>
              <w:left w:type="dxa" w:w="200"/>
              <w:bottom w:type="dxa" w:w="140"/>
              <w:right w:type="dxa" w:w="200"/>
            </w:tcMar>
          </w:tcPr>
          <w:p>
            <w:r>
              <w:rPr>
                <w:b/>
                <w:bCs/>
                <w:color w:val="9FC5E8"/>
                <w:sz w:val="20"/>
                <w:szCs w:val="20"/>
              </w:rPr>
              <w:t xml:space="preserve">SECCIÓN ✓   </w:t>
            </w:r>
            <w:r>
              <w:rPr>
                <w:b/>
                <w:bCs/>
                <w:color w:val="FFFFFF"/>
                <w:sz w:val="20"/>
                <w:szCs w:val="20"/>
              </w:rPr>
              <w:t xml:space="preserve">IDEAS PARA USAR ESTA CALCULADORA EN CLASE</w:t>
            </w:r>
          </w:p>
        </w:tc>
      </w:tr>
    </w:tbl>
    <w:p>
      <w:pPr>
        <w:spacing w:after="40"/>
      </w:pPr>
      <w:r>
        <w:rPr>
          <w:sz w:val="20"/>
          <w:szCs w:val="20"/>
        </w:rPr>
        <w:t xml:space="preserve">☐  </w:t>
      </w:r>
      <w:r>
        <w:rPr>
          <w:sz w:val="18"/>
          <w:szCs w:val="18"/>
        </w:rPr>
        <w:t xml:space="preserve">Compara el costo real de contratar en Oficina vs. Almacenamiento/Logística vs. Construcción, cambiando la actividad económica.</w:t>
      </w:r>
    </w:p>
    <w:p>
      <w:pPr>
        <w:spacing w:after="40"/>
      </w:pPr>
      <w:r>
        <w:rPr>
          <w:sz w:val="20"/>
          <w:szCs w:val="20"/>
        </w:rPr>
        <w:t xml:space="preserve">☐  </w:t>
      </w:r>
      <w:r>
        <w:rPr>
          <w:sz w:val="18"/>
          <w:szCs w:val="18"/>
        </w:rPr>
        <w:t xml:space="preserve">Calcula cuánto le cuesta a una empresa aumentar el salario de un trabajador en B/. 100 (no es solo B/. 100 — incluye el aporte patronal adicional).</w:t>
      </w:r>
    </w:p>
    <w:p>
      <w:pPr>
        <w:spacing w:after="40"/>
      </w:pPr>
      <w:r>
        <w:rPr>
          <w:sz w:val="20"/>
          <w:szCs w:val="20"/>
        </w:rPr>
        <w:t xml:space="preserve">☐  </w:t>
      </w:r>
      <w:r>
        <w:rPr>
          <w:sz w:val="18"/>
          <w:szCs w:val="18"/>
        </w:rPr>
        <w:t xml:space="preserve">Usa la tabla de planilla real para armar un caso propio con los salarios de una empresa ficticia.</w:t>
      </w:r>
    </w:p>
    <w:p>
      <w:pPr>
        <w:spacing w:after="40"/>
      </w:pPr>
      <w:r>
        <w:rPr>
          <w:sz w:val="20"/>
          <w:szCs w:val="20"/>
        </w:rPr>
        <w:t xml:space="preserve">☐  </w:t>
      </w:r>
      <w:r>
        <w:rPr>
          <w:sz w:val="18"/>
          <w:szCs w:val="18"/>
        </w:rPr>
        <w:t xml:space="preserve">Explica con tus propias palabras la diferencia entre 'lo que le cuesta a la empresa' y 'lo que recibe el trabajador en mano'.</w:t>
      </w:r>
    </w:p>
    <w:sectPr>
      <w:headerReference w:type="default" r:id="rId7"/>
      <w:footerReference w:type="default" r:id="rId8"/>
      <w:pgSz w:w="12240" w:h="15840" w:orient="portrait"/>
      <w:pgMar w:top="1000" w:right="900" w:bottom="10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4"/>
        <w:szCs w:val="14"/>
      </w:rPr>
      <w:t xml:space="preserve">Página </w:t>
    </w:r>
    <w:r>
      <w:rPr>
        <w:color w:val="808080"/>
        <w:sz w:val="14"/>
        <w:szCs w:val="14"/>
      </w:rPr>
      <w:fldChar w:fldCharType="begin"/>
      <w:instrText xml:space="preserve">PAGE</w:instrText>
      <w:fldChar w:fldCharType="separate"/>
      <w:fldChar w:fldCharType="end"/>
    </w:r>
    <w:r>
      <w:rPr>
        <w:color w:val="808080"/>
        <w:sz w:val="14"/>
        <w:szCs w:val="14"/>
      </w:rPr>
      <w:t xml:space="preserve"> de </w:t>
    </w:r>
    <w:r>
      <w:rPr>
        <w:color w:val="808080"/>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pBdr>
      <w:tabs>
        <w:tab w:val="right" w:pos="9026"/>
      </w:tabs>
    </w:pPr>
    <w:r>
      <w:rPr>
        <w:color w:val="808080"/>
        <w:sz w:val="14"/>
        <w:szCs w:val="14"/>
      </w:rPr>
      <w:t xml:space="preserve">TUTORIAL — CALCULADORA DE PLANILLA CSS</w:t>
    </w:r>
    <w:r>
      <w:rPr>
        <w:color w:val="808080"/>
        <w:sz w:val="14"/>
        <w:szCs w:val="14"/>
      </w:rPr>
      <w:t xml:space="preserve">	TRIBUTACIÓN 360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2026-07-08T03:13:15.178Z</dcterms:created>
  <dcterms:modified xsi:type="dcterms:W3CDTF">2026-07-08T03:13:15.193Z</dcterms:modified>
</cp:coreProperties>
</file>

<file path=docProps/custom.xml><?xml version="1.0" encoding="utf-8"?>
<Properties xmlns="http://schemas.openxmlformats.org/officeDocument/2006/custom-properties" xmlns:vt="http://schemas.openxmlformats.org/officeDocument/2006/docPropsVTypes"/>
</file>