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40" w:before="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shd w:fill="1F3864" w:color="auto" w:val="clear"/>
            <w:tcMar>
              <w:top w:type="dxa" w:w="700"/>
              <w:left w:type="dxa" w:w="500"/>
              <w:bottom w:type="dxa" w:w="700"/>
              <w:right w:type="dxa" w:w="50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C9A84C"/>
                <w:sz w:val="19"/>
                <w:szCs w:val="19"/>
              </w:rPr>
              <w:t xml:space="preserve">ACI — ACADEMIA CENTROAMERICANA DE INGENIO</w:t>
            </w:r>
          </w:p>
          <w:p>
            <w:pPr>
              <w:spacing w:before="80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D5E8F0"/>
                <w:sz w:val="17"/>
                <w:szCs w:val="17"/>
              </w:rPr>
              <w:t xml:space="preserve">Tributación Empresarial Panamá 360 · ACI-OPT-TRIB-01 · 2026</w:t>
            </w:r>
          </w:p>
          <w:p>
            <w:pPr>
              <w:spacing w:before="440"/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C9A84C"/>
                <w:sz w:val="52"/>
                <w:szCs w:val="52"/>
              </w:rPr>
              <w:t xml:space="preserve">M5</w:t>
            </w:r>
          </w:p>
          <w:p>
            <w:pPr>
              <w:spacing w:before="160"/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30"/>
                <w:szCs w:val="30"/>
              </w:rPr>
              <w:t xml:space="preserve">MANUAL DEL ESTUDIANTE</w:t>
            </w:r>
          </w:p>
          <w:p>
            <w:pPr>
              <w:spacing w:before="120"/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D5E8F0"/>
                <w:sz w:val="24"/>
                <w:szCs w:val="24"/>
              </w:rPr>
              <w:t xml:space="preserve">Obligaciones Municipales y CSS</w:t>
            </w:r>
          </w:p>
          <w:p>
            <w:pPr>
              <w:spacing w:before="360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E8F4F8"/>
                <w:sz w:val="19"/>
                <w:szCs w:val="19"/>
              </w:rPr>
              <w:t xml:space="preserve">Semana 5</w:t>
            </w:r>
          </w:p>
          <w:p>
            <w:pPr>
              <w:spacing w:before="80"/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C9A84C"/>
                <w:sz w:val="19"/>
                <w:szCs w:val="19"/>
              </w:rPr>
              <w:t xml:space="preserve">🏅  Badge: Municipal &amp; Social Compliance Badge</w:t>
            </w:r>
          </w:p>
        </w:tc>
      </w:tr>
    </w:tbl>
    <w:p>
      <w:pPr>
        <w:spacing w:after="80" w:before="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120"/>
        <w:gridCol w:w="3120"/>
        <w:gridCol w:w="3120"/>
      </w:tblGrid>
      <w:tr>
        <w:tc>
          <w:tcPr>
            <w:shd w:fill="D5E8F0" w:color="auto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A5276"/>
                <w:sz w:val="16"/>
                <w:szCs w:val="16"/>
              </w:rPr>
              <w:t xml:space="preserve">📧  hola@aprendoconingenio.tech</w:t>
            </w:r>
          </w:p>
        </w:tc>
        <w:tc>
          <w:tcPr>
            <w:shd w:fill="D5E8F0" w:color="auto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A5276"/>
                <w:sz w:val="16"/>
                <w:szCs w:val="16"/>
              </w:rPr>
              <w:t xml:space="preserve">📱  +507 6300-0292</w:t>
            </w:r>
          </w:p>
        </w:tc>
        <w:tc>
          <w:tcPr>
            <w:shd w:fill="D5E8F0" w:color="auto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A5276"/>
                <w:sz w:val="16"/>
                <w:szCs w:val="16"/>
              </w:rPr>
              <w:t xml:space="preserve">💳  pagos@ingenionic.net</w:t>
            </w:r>
          </w:p>
        </w:tc>
      </w:tr>
    </w:tbl>
    <w:p>
      <w:r>
        <w:br w:type="page"/>
      </w:r>
    </w:p>
    <w:p>
      <w:pPr>
        <w:pBdr>
          <w:bottom w:val="single" w:color="C9A84C" w:sz="8" w:space="4"/>
        </w:pBdr>
        <w:spacing w:after="100" w:before="280"/>
      </w:pPr>
      <w:r>
        <w:rPr>
          <w:rFonts w:ascii="Calibri" w:cs="Calibri" w:eastAsia="Calibri" w:hAnsi="Calibri"/>
          <w:b/>
          <w:bCs/>
          <w:i w:val="false"/>
          <w:iCs w:val="false"/>
          <w:color w:val="1F3864"/>
          <w:sz w:val="26"/>
          <w:szCs w:val="26"/>
        </w:rPr>
        <w:t xml:space="preserve">COMPETENCIA DEL MÓDULO</w:t>
      </w:r>
    </w:p>
    <w:p>
      <w:pPr>
        <w:spacing w:after="40" w:before="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Borders>
              <w:left w:val="single" w:color="1F3864" w:sz="24"/>
            </w:tcBorders>
            <w:shd w:fill="D5E8F0" w:color="auto" w:val="clear"/>
            <w:tcMar>
              <w:top w:type="dxa" w:w="120"/>
              <w:left w:type="dxa" w:w="200"/>
              <w:bottom w:type="dxa" w:w="120"/>
              <w:right w:type="dxa" w:w="200"/>
            </w:tcMar>
          </w:tcPr>
          <w:p>
            <w:pPr>
              <w:spacing w:after="60" w:before="3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F3864"/>
                <w:sz w:val="18"/>
                <w:szCs w:val="18"/>
              </w:rPr>
              <w:t xml:space="preserve">Mapear las 15 obligaciones tributarias completas de tu empresa: más allá de la DGI, incluyendo el Municipio de Panamá, la CSS y los tributos específicos como el Aviso de Operación, el Impuesto de Inmueble y los timbres. Construir el calendario fiscal integral con fechas y montos estimados.</w:t>
            </w:r>
          </w:p>
        </w:tc>
      </w:tr>
    </w:tbl>
    <w:p>
      <w:pPr>
        <w:spacing w:after="80" w:before="0"/>
      </w:pPr>
    </w:p>
    <w:p>
      <w:pPr>
        <w:pBdr>
          <w:bottom w:val="single" w:color="C9A84C" w:sz="8" w:space="4"/>
        </w:pBdr>
        <w:spacing w:after="100" w:before="280"/>
      </w:pPr>
      <w:r>
        <w:rPr>
          <w:rFonts w:ascii="Calibri" w:cs="Calibri" w:eastAsia="Calibri" w:hAnsi="Calibri"/>
          <w:b/>
          <w:bCs/>
          <w:i w:val="false"/>
          <w:iCs w:val="false"/>
          <w:color w:val="1F3864"/>
          <w:sz w:val="26"/>
          <w:szCs w:val="26"/>
        </w:rPr>
        <w:t xml:space="preserve">CONTENIDO ASÍNCRONO</w:t>
      </w:r>
    </w:p>
    <w:p>
      <w:pPr>
        <w:spacing w:after="40" w:before="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00"/>
        <w:gridCol w:w="1600"/>
        <w:gridCol w:w="2800"/>
        <w:gridCol w:w="4360"/>
      </w:tblGrid>
      <w:tr>
        <w:tc>
          <w:tcPr>
            <w:shd w:fill="1A5276" w:color="auto" w:val="clear"/>
            <w:tcMar>
              <w:top w:type="dxa" w:w="60"/>
              <w:left w:type="dxa" w:w="100"/>
              <w:bottom w:type="dxa" w:w="60"/>
              <w:right w:type="dxa" w:w="8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7"/>
                <w:szCs w:val="17"/>
              </w:rPr>
              <w:t xml:space="preserve">ID</w:t>
            </w:r>
          </w:p>
        </w:tc>
        <w:tc>
          <w:tcPr>
            <w:shd w:fill="1A5276" w:color="auto" w:val="clear"/>
            <w:tcMar>
              <w:top w:type="dxa" w:w="60"/>
              <w:left w:type="dxa" w:w="100"/>
              <w:bottom w:type="dxa" w:w="60"/>
              <w:right w:type="dxa" w:w="8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7"/>
                <w:szCs w:val="17"/>
              </w:rPr>
              <w:t xml:space="preserve">Tipo</w:t>
            </w:r>
          </w:p>
        </w:tc>
        <w:tc>
          <w:tcPr>
            <w:shd w:fill="1A5276" w:color="auto" w:val="clear"/>
            <w:tcMar>
              <w:top w:type="dxa" w:w="60"/>
              <w:left w:type="dxa" w:w="100"/>
              <w:bottom w:type="dxa" w:w="60"/>
              <w:right w:type="dxa" w:w="8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7"/>
                <w:szCs w:val="17"/>
              </w:rPr>
              <w:t xml:space="preserve">Título</w:t>
            </w:r>
          </w:p>
        </w:tc>
        <w:tc>
          <w:tcPr>
            <w:shd w:fill="1A5276" w:color="auto" w:val="clear"/>
            <w:tcMar>
              <w:top w:type="dxa" w:w="60"/>
              <w:left w:type="dxa" w:w="100"/>
              <w:bottom w:type="dxa" w:w="60"/>
              <w:right w:type="dxa" w:w="8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7"/>
                <w:szCs w:val="17"/>
              </w:rPr>
              <w:t xml:space="preserve">Qué debes hacer antes de LIVE</w:t>
            </w:r>
          </w:p>
        </w:tc>
      </w:tr>
      <w:tr>
        <w:tc>
          <w:tcPr>
            <w:shd w:fill="D5E8F0" w:color="auto" w:val="clear"/>
            <w:tcMar>
              <w:top w:type="dxa" w:w="60"/>
              <w:left w:type="dxa" w:w="100"/>
              <w:bottom w:type="dxa" w:w="60"/>
              <w:right w:type="dxa" w:w="8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A1A1A"/>
                <w:sz w:val="17"/>
                <w:szCs w:val="17"/>
              </w:rPr>
              <w:t xml:space="preserve">5.1</w:t>
            </w:r>
          </w:p>
        </w:tc>
        <w:tc>
          <w:tcPr>
            <w:shd w:fill="E8F4F8" w:color="auto" w:val="clear"/>
            <w:tcMar>
              <w:top w:type="dxa" w:w="60"/>
              <w:left w:type="dxa" w:w="100"/>
              <w:bottom w:type="dxa" w:w="60"/>
              <w:right w:type="dxa" w:w="8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A1A1A"/>
                <w:sz w:val="17"/>
                <w:szCs w:val="17"/>
              </w:rPr>
              <w:t xml:space="preserve">Video Masterclass (25-30 min)</w:t>
            </w:r>
          </w:p>
        </w:tc>
        <w:tc>
          <w:tcPr>
            <w:shd w:fill="E8F4F8" w:color="auto" w:val="clear"/>
            <w:tcMar>
              <w:top w:type="dxa" w:w="60"/>
              <w:left w:type="dxa" w:w="100"/>
              <w:bottom w:type="dxa" w:w="60"/>
              <w:right w:type="dxa" w:w="8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A1A1A"/>
                <w:sz w:val="17"/>
                <w:szCs w:val="17"/>
              </w:rPr>
              <w:t xml:space="preserve">Las 15 Obligaciones Tributarias de la Empresa Panameña</w:t>
            </w:r>
          </w:p>
        </w:tc>
        <w:tc>
          <w:tcPr>
            <w:shd w:fill="E8F4F8" w:color="auto" w:val="clear"/>
            <w:tcMar>
              <w:top w:type="dxa" w:w="60"/>
              <w:left w:type="dxa" w:w="100"/>
              <w:bottom w:type="dxa" w:w="60"/>
              <w:right w:type="dxa" w:w="8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A1A1A"/>
                <w:sz w:val="17"/>
                <w:szCs w:val="17"/>
              </w:rPr>
              <w:t xml:space="preserve">Iniciar el borrador del Mapa de Obligaciones con las obligaciones que ya conoces marcadas.</w:t>
            </w:r>
          </w:p>
        </w:tc>
      </w:tr>
      <w:tr>
        <w:tc>
          <w:tcPr>
            <w:shd w:fill="D5E8F0" w:color="auto" w:val="clear"/>
            <w:tcMar>
              <w:top w:type="dxa" w:w="60"/>
              <w:left w:type="dxa" w:w="100"/>
              <w:bottom w:type="dxa" w:w="60"/>
              <w:right w:type="dxa" w:w="8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A1A1A"/>
                <w:sz w:val="17"/>
                <w:szCs w:val="17"/>
              </w:rPr>
              <w:t xml:space="preserve">5.2</w:t>
            </w:r>
          </w:p>
        </w:tc>
        <w:tc>
          <w:tcPr>
            <w:shd w:fill="FFFFFF" w:color="auto" w:val="clear"/>
            <w:tcMar>
              <w:top w:type="dxa" w:w="60"/>
              <w:left w:type="dxa" w:w="100"/>
              <w:bottom w:type="dxa" w:w="60"/>
              <w:right w:type="dxa" w:w="8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A1A1A"/>
                <w:sz w:val="17"/>
                <w:szCs w:val="17"/>
              </w:rPr>
              <w:t xml:space="preserve">Video Tutorial (20 min)</w:t>
            </w:r>
          </w:p>
        </w:tc>
        <w:tc>
          <w:tcPr>
            <w:shd w:fill="FFFFFF" w:color="auto" w:val="clear"/>
            <w:tcMar>
              <w:top w:type="dxa" w:w="60"/>
              <w:left w:type="dxa" w:w="100"/>
              <w:bottom w:type="dxa" w:w="60"/>
              <w:right w:type="dxa" w:w="8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A1A1A"/>
                <w:sz w:val="17"/>
                <w:szCs w:val="17"/>
              </w:rPr>
              <w:t xml:space="preserve">CSS y Planilla — Cálculo de la Carga Patronal 2025 (Ley 462)</w:t>
            </w:r>
          </w:p>
        </w:tc>
        <w:tc>
          <w:tcPr>
            <w:shd w:fill="FFFFFF" w:color="auto" w:val="clear"/>
            <w:tcMar>
              <w:top w:type="dxa" w:w="60"/>
              <w:left w:type="dxa" w:w="100"/>
              <w:bottom w:type="dxa" w:w="60"/>
              <w:right w:type="dxa" w:w="8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A1A1A"/>
                <w:sz w:val="17"/>
                <w:szCs w:val="17"/>
              </w:rPr>
              <w:t xml:space="preserve">Tener la planilla de tu empresa del mes más reciente. Calcular la cuota patronal antes de LIVE 10.</w:t>
            </w:r>
          </w:p>
        </w:tc>
      </w:tr>
      <w:tr>
        <w:tc>
          <w:tcPr>
            <w:shd w:fill="D5E8F0" w:color="auto" w:val="clear"/>
            <w:tcMar>
              <w:top w:type="dxa" w:w="60"/>
              <w:left w:type="dxa" w:w="100"/>
              <w:bottom w:type="dxa" w:w="60"/>
              <w:right w:type="dxa" w:w="8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A1A1A"/>
                <w:sz w:val="17"/>
                <w:szCs w:val="17"/>
              </w:rPr>
              <w:t xml:space="preserve">5.3</w:t>
            </w:r>
          </w:p>
        </w:tc>
        <w:tc>
          <w:tcPr>
            <w:shd w:fill="E8F4F8" w:color="auto" w:val="clear"/>
            <w:tcMar>
              <w:top w:type="dxa" w:w="60"/>
              <w:left w:type="dxa" w:w="100"/>
              <w:bottom w:type="dxa" w:w="60"/>
              <w:right w:type="dxa" w:w="8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A1A1A"/>
                <w:sz w:val="17"/>
                <w:szCs w:val="17"/>
              </w:rPr>
              <w:t xml:space="preserve">Plantilla Descargable</w:t>
            </w:r>
          </w:p>
        </w:tc>
        <w:tc>
          <w:tcPr>
            <w:shd w:fill="E8F4F8" w:color="auto" w:val="clear"/>
            <w:tcMar>
              <w:top w:type="dxa" w:w="60"/>
              <w:left w:type="dxa" w:w="100"/>
              <w:bottom w:type="dxa" w:w="60"/>
              <w:right w:type="dxa" w:w="8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A1A1A"/>
                <w:sz w:val="17"/>
                <w:szCs w:val="17"/>
              </w:rPr>
              <w:t xml:space="preserve">Mapa de Obligaciones Tributarias — completar BORRADOR antes de LIVE 10</w:t>
            </w:r>
          </w:p>
        </w:tc>
        <w:tc>
          <w:tcPr>
            <w:shd w:fill="E8F4F8" w:color="auto" w:val="clear"/>
            <w:tcMar>
              <w:top w:type="dxa" w:w="60"/>
              <w:left w:type="dxa" w:w="100"/>
              <w:bottom w:type="dxa" w:w="60"/>
              <w:right w:type="dxa" w:w="8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A1A1A"/>
                <w:sz w:val="17"/>
                <w:szCs w:val="17"/>
              </w:rPr>
              <w:t xml:space="preserve">Descargar Plantilla_Mapa_Obligaciones_Tributarias.docx. TRAE ESTO EN BORRADOR A LIVE 10 — el laboratorio parte desde donde vayas.</w:t>
            </w:r>
          </w:p>
        </w:tc>
      </w:tr>
    </w:tbl>
    <w:p>
      <w:pPr>
        <w:spacing w:after="40" w:before="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Borders>
              <w:left w:val="single" w:color="E67E22" w:sz="24"/>
            </w:tcBorders>
            <w:shd w:fill="FAE5D3" w:color="auto" w:val="clear"/>
            <w:tcMar>
              <w:top w:type="dxa" w:w="120"/>
              <w:left w:type="dxa" w:w="200"/>
              <w:bottom w:type="dxa" w:w="120"/>
              <w:right w:type="dxa" w:w="200"/>
            </w:tcMar>
          </w:tcPr>
          <w:p>
            <w:pPr>
              <w:spacing w:after="60" w:before="3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E67E22"/>
                <w:sz w:val="18"/>
                <w:szCs w:val="18"/>
              </w:rPr>
              <w:t xml:space="preserve">⚠️  No hay ALS en Semana 5.</w:t>
            </w:r>
          </w:p>
          <w:p>
            <w:pPr>
              <w:spacing w:after="60" w:before="3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E67E22"/>
                <w:sz w:val="18"/>
                <w:szCs w:val="18"/>
              </w:rPr>
              <w:t xml:space="preserve">Toda la energía de esta semana va al Mapa de Obligaciones.</w:t>
            </w:r>
          </w:p>
          <w:p>
            <w:pPr>
              <w:spacing w:after="60" w:before="3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E67E22"/>
                <w:sz w:val="18"/>
                <w:szCs w:val="18"/>
              </w:rPr>
              <w:t xml:space="preserve">Es el entregable más operativo del programa — sale de la sesión lista para usarse el lunes siguiente.</w:t>
            </w:r>
          </w:p>
        </w:tc>
      </w:tr>
    </w:tbl>
    <w:p>
      <w:pPr>
        <w:spacing w:after="80" w:before="0"/>
      </w:pPr>
    </w:p>
    <w:p>
      <w:pPr>
        <w:pBdr>
          <w:bottom w:val="single" w:color="C9A84C" w:sz="8" w:space="4"/>
        </w:pBdr>
        <w:spacing w:after="100" w:before="280"/>
      </w:pPr>
      <w:r>
        <w:rPr>
          <w:rFonts w:ascii="Calibri" w:cs="Calibri" w:eastAsia="Calibri" w:hAnsi="Calibri"/>
          <w:b/>
          <w:bCs/>
          <w:i w:val="false"/>
          <w:iCs w:val="false"/>
          <w:color w:val="1F3864"/>
          <w:sz w:val="26"/>
          <w:szCs w:val="26"/>
        </w:rPr>
        <w:t xml:space="preserve">SESIONES LIVE — SEMANA 5</w:t>
      </w:r>
    </w:p>
    <w:p>
      <w:pPr>
        <w:spacing w:after="40" w:before="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shd w:fill="1A5276" w:color="auto" w:val="clear"/>
            <w:tcMar>
              <w:top w:type="dxa" w:w="180"/>
              <w:left w:type="dxa" w:w="220"/>
              <w:bottom w:type="dxa" w:w="180"/>
              <w:right w:type="dxa" w:w="22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caps w:val="false"/>
                <w:color w:val="FFFFFF"/>
                <w:sz w:val="18"/>
                <w:szCs w:val="18"/>
              </w:rPr>
              <w:t xml:space="preserve">LIVE 9  ·  Las 15 Obligaciones + CSS Ley 462 + Tasas Municipales</w:t>
            </w:r>
          </w:p>
        </w:tc>
      </w:tr>
    </w:tbl>
    <w:p>
      <w:pPr>
        <w:spacing w:after="40" w:before="0"/>
      </w:pPr>
    </w:p>
    <w:p>
      <w:pPr>
        <w:pStyle w:val="ListParagraph"/>
        <w:numPr>
          <w:ilvl w:val="0"/>
          <w:numId w:val="1"/>
        </w:numPr>
        <w:spacing w:after="60" w:before="2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A1A"/>
          <w:sz w:val="20"/>
          <w:szCs w:val="20"/>
        </w:rPr>
        <w:t xml:space="preserve">Demo del Mapa de las 15 Obligaciones para una empresa comercial panameña tipo (SA, Ciudad de Panamá, 15 empleados).</w:t>
      </w:r>
    </w:p>
    <w:p>
      <w:pPr>
        <w:pStyle w:val="ListParagraph"/>
        <w:numPr>
          <w:ilvl w:val="0"/>
          <w:numId w:val="1"/>
        </w:numPr>
        <w:spacing w:after="60" w:before="2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A1A"/>
          <w:sz w:val="20"/>
          <w:szCs w:val="20"/>
        </w:rPr>
        <w:t xml:space="preserve">El Aviso de Operación — el impuesto más olvidado y sus consecuencias reales: clausura, bloqueo del Paz y Salvo.</w:t>
      </w:r>
    </w:p>
    <w:p>
      <w:pPr>
        <w:pStyle w:val="ListParagraph"/>
        <w:numPr>
          <w:ilvl w:val="0"/>
          <w:numId w:val="1"/>
        </w:numPr>
        <w:spacing w:after="60" w:before="2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A1A"/>
          <w:sz w:val="20"/>
          <w:szCs w:val="20"/>
        </w:rPr>
        <w:t xml:space="preserve">CSS Ley 462/2025: la nueva cuota patronal al 13.25% desde abril 2025 y el cronograma de aumentos hasta 2029 (14.25% en 2027, 15.25% en 2029).</w:t>
      </w:r>
    </w:p>
    <w:p>
      <w:pPr>
        <w:pStyle w:val="ListParagraph"/>
        <w:numPr>
          <w:ilvl w:val="0"/>
          <w:numId w:val="1"/>
        </w:numPr>
        <w:spacing w:after="60" w:before="2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A1A"/>
          <w:sz w:val="20"/>
          <w:szCs w:val="20"/>
        </w:rPr>
        <w:t xml:space="preserve">Tasas municipales: Municipio de Panamá, Colón y diferencias entre jurisdicciones. El recargo del 20% por mora + 1% mensual.</w:t>
      </w:r>
    </w:p>
    <w:p>
      <w:pPr>
        <w:pStyle w:val="ListParagraph"/>
        <w:numPr>
          <w:ilvl w:val="0"/>
          <w:numId w:val="1"/>
        </w:numPr>
        <w:spacing w:after="60" w:before="2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A1A"/>
          <w:sz w:val="20"/>
          <w:szCs w:val="20"/>
        </w:rPr>
        <w:t xml:space="preserve">Impuesto de Inmueble: base imponible, tasas, exoneraciones de la Ley 66/2017 y la trampa del avalúo desactualizado.</w:t>
      </w:r>
    </w:p>
    <w:p>
      <w:pPr>
        <w:spacing w:after="60" w:before="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shd w:fill="1A5276" w:color="auto" w:val="clear"/>
            <w:tcMar>
              <w:top w:type="dxa" w:w="180"/>
              <w:left w:type="dxa" w:w="220"/>
              <w:bottom w:type="dxa" w:w="180"/>
              <w:right w:type="dxa" w:w="22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caps w:val="false"/>
                <w:color w:val="FFFFFF"/>
                <w:sz w:val="18"/>
                <w:szCs w:val="18"/>
              </w:rPr>
              <w:t xml:space="preserve">LIVE 10  ·  Laboratorio Mapa de Obligaciones de TU empresa + Semáforo</w:t>
            </w:r>
          </w:p>
        </w:tc>
      </w:tr>
    </w:tbl>
    <w:p>
      <w:pPr>
        <w:spacing w:after="40" w:before="0"/>
      </w:pPr>
    </w:p>
    <w:p>
      <w:pPr>
        <w:pStyle w:val="ListParagraph"/>
        <w:numPr>
          <w:ilvl w:val="0"/>
          <w:numId w:val="1"/>
        </w:numPr>
        <w:spacing w:after="60" w:before="2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A1A"/>
          <w:sz w:val="20"/>
          <w:szCs w:val="20"/>
        </w:rPr>
        <w:t xml:space="preserve">Laboratorio: construyes el Mapa de Obligaciones de TU empresa con el instructor como consultor.</w:t>
      </w:r>
    </w:p>
    <w:p>
      <w:pPr>
        <w:pStyle w:val="ListParagraph"/>
        <w:numPr>
          <w:ilvl w:val="0"/>
          <w:numId w:val="1"/>
        </w:numPr>
        <w:spacing w:after="60" w:before="2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A1A"/>
          <w:sz w:val="20"/>
          <w:szCs w:val="20"/>
        </w:rPr>
        <w:t xml:space="preserve">El instructor revisa cada mapa y señala las obligaciones más frecuentemente omitidas: Aviso de Operación, timbres, tasas municipales.</w:t>
      </w:r>
    </w:p>
    <w:p>
      <w:pPr>
        <w:pStyle w:val="ListParagraph"/>
        <w:numPr>
          <w:ilvl w:val="0"/>
          <w:numId w:val="1"/>
        </w:numPr>
        <w:spacing w:after="60" w:before="2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A1A"/>
          <w:sz w:val="20"/>
          <w:szCs w:val="20"/>
        </w:rPr>
        <w:t xml:space="preserve">Semáforo: ¿cuáles de tus 15 obligaciones están en verde, amarillo o rojo?</w:t>
      </w:r>
    </w:p>
    <w:p>
      <w:pPr>
        <w:pStyle w:val="ListParagraph"/>
        <w:numPr>
          <w:ilvl w:val="0"/>
          <w:numId w:val="1"/>
        </w:numPr>
        <w:spacing w:after="60" w:before="2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A1A"/>
          <w:sz w:val="20"/>
          <w:szCs w:val="20"/>
        </w:rPr>
        <w:t xml:space="preserve">Cierre: ¿cuántas obligaciones conocías antes de esta sesión? La diferencia entre ese número y 15 es tu riesgo tributario real.</w:t>
      </w:r>
    </w:p>
    <w:p>
      <w:pPr>
        <w:spacing w:after="80" w:before="0"/>
      </w:pPr>
    </w:p>
    <w:p>
      <w:pPr>
        <w:pBdr>
          <w:bottom w:val="single" w:color="C9A84C" w:sz="8" w:space="4"/>
        </w:pBdr>
        <w:spacing w:after="100" w:before="280"/>
      </w:pPr>
      <w:r>
        <w:rPr>
          <w:rFonts w:ascii="Calibri" w:cs="Calibri" w:eastAsia="Calibri" w:hAnsi="Calibri"/>
          <w:b/>
          <w:bCs/>
          <w:i w:val="false"/>
          <w:iCs w:val="false"/>
          <w:color w:val="1F3864"/>
          <w:sz w:val="26"/>
          <w:szCs w:val="26"/>
        </w:rPr>
        <w:t xml:space="preserve">ENTREGABLE M5 — MAPA DE OBLIGACIONES TRIBUTARIAS COMPLETO</w:t>
      </w:r>
    </w:p>
    <w:p>
      <w:pPr>
        <w:spacing w:after="40" w:before="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shd w:fill="C9A84C" w:color="auto" w:val="clear"/>
            <w:tcMar>
              <w:top w:type="dxa" w:w="180"/>
              <w:left w:type="dxa" w:w="220"/>
              <w:bottom w:type="dxa" w:w="180"/>
              <w:right w:type="dxa" w:w="220"/>
            </w:tcMar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caps w:val="false"/>
                <w:color w:val="1F3864"/>
                <w:sz w:val="19"/>
                <w:szCs w:val="19"/>
              </w:rPr>
              <w:t xml:space="preserve">🏅  Badge al aprobar: Municipal &amp; Social Compliance Badge</w:t>
            </w:r>
          </w:p>
        </w:tc>
      </w:tr>
    </w:tbl>
    <w:p>
      <w:pPr>
        <w:spacing w:after="40" w:before="0"/>
      </w:pPr>
    </w:p>
    <w:p>
      <w:pPr>
        <w:spacing w:after="100" w:before="40"/>
        <w:jc w:val="left"/>
      </w:pPr>
      <w:r>
        <w:rPr>
          <w:rFonts w:ascii="Calibri" w:cs="Calibri" w:eastAsia="Calibri" w:hAnsi="Calibri"/>
          <w:b/>
          <w:bCs/>
          <w:i w:val="false"/>
          <w:iCs w:val="false"/>
          <w:color w:val="1A5276"/>
          <w:sz w:val="20"/>
          <w:szCs w:val="20"/>
        </w:rPr>
        <w:t xml:space="preserve">¿Qué construyes?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A1A"/>
          <w:sz w:val="20"/>
          <w:szCs w:val="20"/>
        </w:rPr>
        <w:t xml:space="preserve">  El inventario fiscal completo de tu empresa: las 15 obligaciones con base legal, fecha de vencimiento, monto estimado y estado de cumplimiento. Sin sorpresas fiscales.</w:t>
      </w:r>
    </w:p>
    <w:p>
      <w:pPr>
        <w:spacing w:after="40" w:before="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Borders>
              <w:left w:val="single" w:color="1E6B3C" w:sz="24"/>
            </w:tcBorders>
            <w:shd w:fill="E8F5E9" w:color="auto" w:val="clear"/>
            <w:tcMar>
              <w:top w:type="dxa" w:w="120"/>
              <w:left w:type="dxa" w:w="200"/>
              <w:bottom w:type="dxa" w:w="120"/>
              <w:right w:type="dxa" w:w="200"/>
            </w:tcMar>
          </w:tcPr>
          <w:p>
            <w:pPr>
              <w:spacing w:after="60" w:before="3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E6B3C"/>
                <w:sz w:val="18"/>
                <w:szCs w:val="18"/>
              </w:rPr>
              <w:t xml:space="preserve">CONTENIDO OBLIGATORIO DEL ENTREGABLE</w:t>
            </w:r>
          </w:p>
          <w:p>
            <w:pPr>
              <w:spacing w:after="60" w:before="3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E6B3C"/>
                <w:sz w:val="18"/>
                <w:szCs w:val="18"/>
              </w:rPr>
              <w:t xml:space="preserve">✓  Las 15 obligaciones tributarias de tu empresa con base legal, frecuencia y próxima fecha de vencimiento.</w:t>
            </w:r>
          </w:p>
          <w:p>
            <w:pPr>
              <w:spacing w:after="60" w:before="3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E6B3C"/>
                <w:sz w:val="18"/>
                <w:szCs w:val="18"/>
              </w:rPr>
              <w:t xml:space="preserve">✓  Monto estimado de cada obligación (puede ser aproximado — debe estar fundamentado en datos reales).</w:t>
            </w:r>
          </w:p>
          <w:p>
            <w:pPr>
              <w:spacing w:after="60" w:before="3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E6B3C"/>
                <w:sz w:val="18"/>
                <w:szCs w:val="18"/>
              </w:rPr>
              <w:t xml:space="preserve">✓  Semáforo de cumplimiento: 🟢 en cumplimiento / 🟡 en riesgo / 🔴 en mora.</w:t>
            </w:r>
          </w:p>
          <w:p>
            <w:pPr>
              <w:spacing w:after="60" w:before="3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E6B3C"/>
                <w:sz w:val="18"/>
                <w:szCs w:val="18"/>
              </w:rPr>
              <w:t xml:space="preserve">✓  CSS patronal calculada correctamente con la tasa 2025 (13.25%) sobre tu planilla real.</w:t>
            </w:r>
          </w:p>
          <w:p>
            <w:pPr>
              <w:spacing w:after="60" w:before="3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E6B3C"/>
                <w:sz w:val="18"/>
                <w:szCs w:val="18"/>
              </w:rPr>
              <w:t xml:space="preserve">✓  Plan de regularización para las obligaciones en rojo o amarillo.</w:t>
            </w:r>
          </w:p>
          <w:p>
            <w:pPr>
              <w:spacing w:after="60" w:before="3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E6B3C"/>
                <w:sz w:val="18"/>
                <w:szCs w:val="18"/>
              </w:rPr>
              <w:t xml:space="preserve">✓  Al menos 1 obligación que identificaste y que no estabas monitoreando correctamente.</w:t>
            </w:r>
          </w:p>
        </w:tc>
      </w:tr>
    </w:tbl>
    <w:p>
      <w:pPr>
        <w:spacing w:after="40" w:before="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00"/>
        <w:gridCol w:w="6560"/>
      </w:tblGrid>
      <w:tr>
        <w:tc>
          <w:tcPr>
            <w:shd w:fill="D5E8F0" w:color="auto" w:val="clear"/>
            <w:tcMar>
              <w:top w:type="dxa" w:w="60"/>
              <w:left w:type="dxa" w:w="120"/>
              <w:bottom w:type="dxa" w:w="60"/>
              <w:right w:type="dxa" w:w="80"/>
            </w:tcMar>
          </w:tcPr>
          <w:p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A1A1A"/>
                <w:sz w:val="18"/>
                <w:szCs w:val="18"/>
              </w:rPr>
              <w:t xml:space="preserve">Formato</w:t>
            </w:r>
          </w:p>
        </w:tc>
        <w:tc>
          <w:tcPr>
            <w:shd w:fill="FFFFFF" w:color="auto" w:val="clear"/>
            <w:tcMar>
              <w:top w:type="dxa" w:w="60"/>
              <w:left w:type="dxa" w:w="12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>Excel o PDF (plantilla completada)</w:t>
            </w:r>
          </w:p>
        </w:tc>
      </w:tr>
      <w:tr>
        <w:tc>
          <w:tcPr>
            <w:shd w:fill="E8F4F8" w:color="auto" w:val="clear"/>
            <w:tcMar>
              <w:top w:type="dxa" w:w="60"/>
              <w:left w:type="dxa" w:w="120"/>
              <w:bottom w:type="dxa" w:w="60"/>
              <w:right w:type="dxa" w:w="80"/>
            </w:tcMar>
          </w:tcPr>
          <w:p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A1A1A"/>
                <w:sz w:val="18"/>
                <w:szCs w:val="18"/>
              </w:rPr>
              <w:t xml:space="preserve">Nombre del archivo</w:t>
            </w:r>
          </w:p>
        </w:tc>
        <w:tc>
          <w:tcPr>
            <w:shd w:fill="F5F7FA" w:color="auto" w:val="clear"/>
            <w:tcMar>
              <w:top w:type="dxa" w:w="60"/>
              <w:left w:type="dxa" w:w="12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>M5_MapaObligaciones_[TuApellido].xlsx</w:t>
            </w:r>
          </w:p>
        </w:tc>
      </w:tr>
      <w:tr>
        <w:tc>
          <w:tcPr>
            <w:shd w:fill="D5E8F0" w:color="auto" w:val="clear"/>
            <w:tcMar>
              <w:top w:type="dxa" w:w="60"/>
              <w:left w:type="dxa" w:w="120"/>
              <w:bottom w:type="dxa" w:w="60"/>
              <w:right w:type="dxa" w:w="80"/>
            </w:tcMar>
          </w:tcPr>
          <w:p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A1A1A"/>
                <w:sz w:val="18"/>
                <w:szCs w:val="18"/>
              </w:rPr>
              <w:t xml:space="preserve">Fecha límite</w:t>
            </w:r>
          </w:p>
        </w:tc>
        <w:tc>
          <w:tcPr>
            <w:shd w:fill="FFFFFF" w:color="auto" w:val="clear"/>
            <w:tcMar>
              <w:top w:type="dxa" w:w="60"/>
              <w:left w:type="dxa" w:w="12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>Antes de LIVE 11 (inicio de Semana 6)</w:t>
            </w:r>
          </w:p>
        </w:tc>
      </w:tr>
      <w:tr>
        <w:tc>
          <w:tcPr>
            <w:shd w:fill="E8F4F8" w:color="auto" w:val="clear"/>
            <w:tcMar>
              <w:top w:type="dxa" w:w="60"/>
              <w:left w:type="dxa" w:w="120"/>
              <w:bottom w:type="dxa" w:w="60"/>
              <w:right w:type="dxa" w:w="80"/>
            </w:tcMar>
          </w:tcPr>
          <w:p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A1A1A"/>
                <w:sz w:val="18"/>
                <w:szCs w:val="18"/>
              </w:rPr>
              <w:t xml:space="preserve">Dónde entregar</w:t>
            </w:r>
          </w:p>
        </w:tc>
        <w:tc>
          <w:tcPr>
            <w:shd w:fill="F5F7FA" w:color="auto" w:val="clear"/>
            <w:tcMar>
              <w:top w:type="dxa" w:w="60"/>
              <w:left w:type="dxa" w:w="12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>TutorLMS — Assignment del M5</w:t>
            </w:r>
          </w:p>
        </w:tc>
      </w:tr>
    </w:tbl>
    <w:p>
      <w:pPr>
        <w:spacing w:after="40" w:before="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400"/>
        <w:gridCol w:w="5800"/>
        <w:gridCol w:w="2160"/>
      </w:tblGrid>
      <w:tr>
        <w:tc>
          <w:tcPr>
            <w:shd w:fill="1A5276" w:color="auto" w:val="clear"/>
            <w:tcMar>
              <w:top w:type="dxa" w:w="60"/>
              <w:left w:type="dxa" w:w="100"/>
              <w:bottom w:type="dxa" w:w="60"/>
              <w:right w:type="dxa" w:w="8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7"/>
                <w:szCs w:val="17"/>
              </w:rPr>
              <w:t xml:space="preserve">Nivel</w:t>
            </w:r>
          </w:p>
        </w:tc>
        <w:tc>
          <w:tcPr>
            <w:shd w:fill="1A5276" w:color="auto" w:val="clear"/>
            <w:tcMar>
              <w:top w:type="dxa" w:w="60"/>
              <w:left w:type="dxa" w:w="100"/>
              <w:bottom w:type="dxa" w:w="60"/>
              <w:right w:type="dxa" w:w="8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7"/>
                <w:szCs w:val="17"/>
              </w:rPr>
              <w:t xml:space="preserve">Descripción</w:t>
            </w:r>
          </w:p>
        </w:tc>
        <w:tc>
          <w:tcPr>
            <w:shd w:fill="1A5276" w:color="auto" w:val="clear"/>
            <w:tcMar>
              <w:top w:type="dxa" w:w="60"/>
              <w:left w:type="dxa" w:w="100"/>
              <w:bottom w:type="dxa" w:w="60"/>
              <w:right w:type="dxa" w:w="8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7"/>
                <w:szCs w:val="17"/>
              </w:rPr>
              <w:t xml:space="preserve">¿Aprueba?</w:t>
            </w:r>
          </w:p>
        </w:tc>
      </w:tr>
      <w:tr>
        <w:tc>
          <w:tcPr>
            <w:shd w:fill="D5E8F0" w:color="auto" w:val="clear"/>
            <w:tcMar>
              <w:top w:type="dxa" w:w="60"/>
              <w:left w:type="dxa" w:w="100"/>
              <w:bottom w:type="dxa" w:w="60"/>
              <w:right w:type="dxa" w:w="8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A1A1A"/>
                <w:sz w:val="17"/>
                <w:szCs w:val="17"/>
              </w:rPr>
              <w:t xml:space="preserve">Nivel 2 — Operador</w:t>
            </w:r>
          </w:p>
        </w:tc>
        <w:tc>
          <w:tcPr>
            <w:shd w:fill="E8F4F8" w:color="auto" w:val="clear"/>
            <w:tcMar>
              <w:top w:type="dxa" w:w="60"/>
              <w:left w:type="dxa" w:w="100"/>
              <w:bottom w:type="dxa" w:w="60"/>
              <w:right w:type="dxa" w:w="8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A1A1A"/>
                <w:sz w:val="17"/>
                <w:szCs w:val="17"/>
              </w:rPr>
              <w:t xml:space="preserve">Conoce la existencia de las obligaciones pero no calcula montos ni fechas correctamente.</w:t>
            </w:r>
          </w:p>
        </w:tc>
        <w:tc>
          <w:tcPr>
            <w:shd w:fill="E8F4F8" w:color="auto" w:val="clear"/>
            <w:tcMar>
              <w:top w:type="dxa" w:w="60"/>
              <w:left w:type="dxa" w:w="100"/>
              <w:bottom w:type="dxa" w:w="60"/>
              <w:right w:type="dxa" w:w="8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A1A1A"/>
                <w:sz w:val="17"/>
                <w:szCs w:val="17"/>
              </w:rPr>
              <w:t xml:space="preserve">No</w:t>
            </w:r>
          </w:p>
        </w:tc>
      </w:tr>
      <w:tr>
        <w:tc>
          <w:tcPr>
            <w:shd w:fill="D5E8F0" w:color="auto" w:val="clear"/>
            <w:tcMar>
              <w:top w:type="dxa" w:w="60"/>
              <w:left w:type="dxa" w:w="100"/>
              <w:bottom w:type="dxa" w:w="60"/>
              <w:right w:type="dxa" w:w="8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A1A1A"/>
                <w:sz w:val="17"/>
                <w:szCs w:val="17"/>
              </w:rPr>
              <w:t xml:space="preserve">Nivel 3 — Practicante ✓ MÍNIMO</w:t>
            </w:r>
          </w:p>
        </w:tc>
        <w:tc>
          <w:tcPr>
            <w:shd w:fill="FFFFFF" w:color="auto" w:val="clear"/>
            <w:tcMar>
              <w:top w:type="dxa" w:w="60"/>
              <w:left w:type="dxa" w:w="100"/>
              <w:bottom w:type="dxa" w:w="60"/>
              <w:right w:type="dxa" w:w="8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A1A1A"/>
                <w:sz w:val="17"/>
                <w:szCs w:val="17"/>
              </w:rPr>
              <w:t xml:space="preserve">Las 15 obligaciones con fechas y montos estimados correctos. Identifica al menos 1 obligación no monitoreada.</w:t>
            </w:r>
          </w:p>
        </w:tc>
        <w:tc>
          <w:tcPr>
            <w:shd w:fill="FFFFFF" w:color="auto" w:val="clear"/>
            <w:tcMar>
              <w:top w:type="dxa" w:w="60"/>
              <w:left w:type="dxa" w:w="100"/>
              <w:bottom w:type="dxa" w:w="60"/>
              <w:right w:type="dxa" w:w="8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A1A1A"/>
                <w:sz w:val="17"/>
                <w:szCs w:val="17"/>
              </w:rPr>
              <w:t xml:space="preserve">Sí</w:t>
            </w:r>
          </w:p>
        </w:tc>
      </w:tr>
      <w:tr>
        <w:tc>
          <w:tcPr>
            <w:shd w:fill="D5E8F0" w:color="auto" w:val="clear"/>
            <w:tcMar>
              <w:top w:type="dxa" w:w="60"/>
              <w:left w:type="dxa" w:w="100"/>
              <w:bottom w:type="dxa" w:w="60"/>
              <w:right w:type="dxa" w:w="8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A1A1A"/>
                <w:sz w:val="17"/>
                <w:szCs w:val="17"/>
              </w:rPr>
              <w:t xml:space="preserve">Nivel 4 — Arquitecto</w:t>
            </w:r>
          </w:p>
        </w:tc>
        <w:tc>
          <w:tcPr>
            <w:shd w:fill="E8F4F8" w:color="auto" w:val="clear"/>
            <w:tcMar>
              <w:top w:type="dxa" w:w="60"/>
              <w:left w:type="dxa" w:w="100"/>
              <w:bottom w:type="dxa" w:w="60"/>
              <w:right w:type="dxa" w:w="8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A1A1A"/>
                <w:sz w:val="17"/>
                <w:szCs w:val="17"/>
              </w:rPr>
              <w:t xml:space="preserve">Integra el calendario en el flujo de caja con alertas de vencimiento y plan de regularización priorizado por impacto.</w:t>
            </w:r>
          </w:p>
        </w:tc>
        <w:tc>
          <w:tcPr>
            <w:shd w:fill="E8F4F8" w:color="auto" w:val="clear"/>
            <w:tcMar>
              <w:top w:type="dxa" w:w="60"/>
              <w:left w:type="dxa" w:w="100"/>
              <w:bottom w:type="dxa" w:w="60"/>
              <w:right w:type="dxa" w:w="8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A1A1A"/>
                <w:sz w:val="17"/>
                <w:szCs w:val="17"/>
              </w:rPr>
              <w:t xml:space="preserve">Sí + Badge con distinción</w:t>
            </w:r>
          </w:p>
        </w:tc>
      </w:tr>
    </w:tbl>
    <w:p>
      <w:r>
        <w:br w:type="page"/>
      </w:r>
    </w:p>
    <w:p>
      <w:pPr>
        <w:pBdr>
          <w:bottom w:val="single" w:color="C9A84C" w:sz="8" w:space="4"/>
        </w:pBdr>
        <w:spacing w:after="100" w:before="280"/>
      </w:pPr>
      <w:r>
        <w:rPr>
          <w:rFonts w:ascii="Calibri" w:cs="Calibri" w:eastAsia="Calibri" w:hAnsi="Calibri"/>
          <w:b/>
          <w:bCs/>
          <w:i w:val="false"/>
          <w:iCs w:val="false"/>
          <w:color w:val="1F3864"/>
          <w:sz w:val="26"/>
          <w:szCs w:val="26"/>
        </w:rPr>
        <w:t xml:space="preserve">RECORDATORIO DE NORMAS CLAVE</w:t>
      </w:r>
    </w:p>
    <w:p>
      <w:pPr>
        <w:spacing w:after="40" w:before="0"/>
      </w:pPr>
    </w:p>
    <w:p>
      <w:pPr>
        <w:spacing w:after="80" w:before="200"/>
      </w:pPr>
      <w:r>
        <w:rPr>
          <w:rFonts w:ascii="Calibri" w:cs="Calibri" w:eastAsia="Calibri" w:hAnsi="Calibri"/>
          <w:b/>
          <w:bCs/>
          <w:i w:val="false"/>
          <w:iCs w:val="false"/>
          <w:color w:val="1A5276"/>
          <w:sz w:val="21"/>
          <w:szCs w:val="21"/>
        </w:rPr>
        <w:t xml:space="preserve">Entregables y fechas</w:t>
      </w:r>
    </w:p>
    <w:p>
      <w:pPr>
        <w:pStyle w:val="ListParagraph"/>
        <w:numPr>
          <w:ilvl w:val="0"/>
          <w:numId w:val="1"/>
        </w:numPr>
        <w:spacing w:after="60" w:before="2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A1A"/>
          <w:sz w:val="20"/>
          <w:szCs w:val="20"/>
        </w:rPr>
        <w:t xml:space="preserve">Sube tu entregable exclusivamente en TutorLMS — sección Assignment del módulo.</w:t>
      </w:r>
    </w:p>
    <w:p>
      <w:pPr>
        <w:pStyle w:val="ListParagraph"/>
        <w:numPr>
          <w:ilvl w:val="0"/>
          <w:numId w:val="1"/>
        </w:numPr>
        <w:spacing w:after="60" w:before="2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A1A"/>
          <w:sz w:val="20"/>
          <w:szCs w:val="20"/>
        </w:rPr>
        <w:t xml:space="preserve">Formato: PDF o Excel según se indica. Nombre del archivo: [CódigoEntregable]_[TuApellido].</w:t>
      </w:r>
    </w:p>
    <w:p>
      <w:pPr>
        <w:pStyle w:val="ListParagraph"/>
        <w:numPr>
          <w:ilvl w:val="0"/>
          <w:numId w:val="1"/>
        </w:numPr>
        <w:spacing w:after="60" w:before="2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A1A"/>
          <w:sz w:val="20"/>
          <w:szCs w:val="20"/>
        </w:rPr>
        <w:t xml:space="preserve">Entregable fuera de fecha sin aviso previo: baja un nivel en la rúbrica (Nivel 3 → Nivel 2).</w:t>
      </w:r>
    </w:p>
    <w:p>
      <w:pPr>
        <w:pStyle w:val="ListParagraph"/>
        <w:numPr>
          <w:ilvl w:val="0"/>
          <w:numId w:val="1"/>
        </w:numPr>
        <w:spacing w:after="60" w:before="2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A1A"/>
          <w:sz w:val="20"/>
          <w:szCs w:val="20"/>
        </w:rPr>
        <w:t xml:space="preserve">Extensión solicitada para los ALS es el mínimo — no el objetivo.</w:t>
      </w:r>
    </w:p>
    <w:p>
      <w:pPr>
        <w:spacing w:after="40" w:before="0"/>
      </w:pPr>
    </w:p>
    <w:p>
      <w:pPr>
        <w:spacing w:after="80" w:before="200"/>
      </w:pPr>
      <w:r>
        <w:rPr>
          <w:rFonts w:ascii="Calibri" w:cs="Calibri" w:eastAsia="Calibri" w:hAnsi="Calibri"/>
          <w:b/>
          <w:bCs/>
          <w:i w:val="false"/>
          <w:iCs w:val="false"/>
          <w:color w:val="1A5276"/>
          <w:sz w:val="21"/>
          <w:szCs w:val="21"/>
        </w:rPr>
        <w:t xml:space="preserve">ALS — Tareas Reflexivas</w:t>
      </w:r>
    </w:p>
    <w:p>
      <w:pPr>
        <w:pStyle w:val="ListParagraph"/>
        <w:numPr>
          <w:ilvl w:val="0"/>
          <w:numId w:val="1"/>
        </w:numPr>
        <w:spacing w:after="60" w:before="2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A1A"/>
          <w:sz w:val="20"/>
          <w:szCs w:val="20"/>
        </w:rPr>
        <w:t xml:space="preserve">Los ALS son individuales y sobre tu empresa real — no pueden ser redactados por terceros.</w:t>
      </w:r>
    </w:p>
    <w:p>
      <w:pPr>
        <w:pStyle w:val="ListParagraph"/>
        <w:numPr>
          <w:ilvl w:val="0"/>
          <w:numId w:val="1"/>
        </w:numPr>
        <w:spacing w:after="60" w:before="2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A1A"/>
          <w:sz w:val="20"/>
          <w:szCs w:val="20"/>
        </w:rPr>
        <w:t xml:space="preserve">La IA puede ayudarte a organizar ideas, nunca a sustituir tu análisis sobre tu propia realidad fiscal.</w:t>
      </w:r>
    </w:p>
    <w:p>
      <w:pPr>
        <w:pStyle w:val="ListParagraph"/>
        <w:numPr>
          <w:ilvl w:val="0"/>
          <w:numId w:val="1"/>
        </w:numPr>
        <w:spacing w:after="60" w:before="2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A1A"/>
          <w:sz w:val="20"/>
          <w:szCs w:val="20"/>
        </w:rPr>
        <w:t xml:space="preserve">Si el facilitador lo solicita, habrá una conversación de seguimiento sobre tu ALS.</w:t>
      </w:r>
    </w:p>
    <w:p>
      <w:pPr>
        <w:spacing w:after="40" w:before="0"/>
      </w:pPr>
    </w:p>
    <w:p>
      <w:pPr>
        <w:spacing w:after="80" w:before="200"/>
      </w:pPr>
      <w:r>
        <w:rPr>
          <w:rFonts w:ascii="Calibri" w:cs="Calibri" w:eastAsia="Calibri" w:hAnsi="Calibri"/>
          <w:b/>
          <w:bCs/>
          <w:i w:val="false"/>
          <w:iCs w:val="false"/>
          <w:color w:val="1A5276"/>
          <w:sz w:val="21"/>
          <w:szCs w:val="21"/>
        </w:rPr>
        <w:t xml:space="preserve">Asistencia</w:t>
      </w:r>
    </w:p>
    <w:p>
      <w:pPr>
        <w:pStyle w:val="ListParagraph"/>
        <w:numPr>
          <w:ilvl w:val="0"/>
          <w:numId w:val="1"/>
        </w:numPr>
        <w:spacing w:after="60" w:before="2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A1A"/>
          <w:sz w:val="20"/>
          <w:szCs w:val="20"/>
        </w:rPr>
        <w:t xml:space="preserve">Mínimo 80% de asistencia (≥5 de 7 módulos) para cualquier certificación.</w:t>
      </w:r>
    </w:p>
    <w:p>
      <w:pPr>
        <w:pStyle w:val="ListParagraph"/>
        <w:numPr>
          <w:ilvl w:val="0"/>
          <w:numId w:val="1"/>
        </w:numPr>
        <w:spacing w:after="60" w:before="2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A1A"/>
          <w:sz w:val="20"/>
          <w:szCs w:val="20"/>
        </w:rPr>
        <w:t xml:space="preserve">Las sesiones live no reemplazan su grabación — la interacción en tiempo real es parte del aprendizaje.</w:t>
      </w:r>
    </w:p>
    <w:p>
      <w:pPr>
        <w:pStyle w:val="ListParagraph"/>
        <w:numPr>
          <w:ilvl w:val="0"/>
          <w:numId w:val="1"/>
        </w:numPr>
        <w:spacing w:after="60" w:before="2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1A1A1A"/>
          <w:sz w:val="20"/>
          <w:szCs w:val="20"/>
        </w:rPr>
        <w:t xml:space="preserve">Inasistencia: notifica a hola@aprendoconingenio.tech con al menos 24h de anticipación.</w:t>
      </w:r>
    </w:p>
    <w:p>
      <w:pPr>
        <w:spacing w:after="40" w:before="0"/>
      </w:pPr>
    </w:p>
    <w:p>
      <w:pPr>
        <w:spacing w:after="80" w:before="200"/>
      </w:pPr>
      <w:r>
        <w:rPr>
          <w:rFonts w:ascii="Calibri" w:cs="Calibri" w:eastAsia="Calibri" w:hAnsi="Calibri"/>
          <w:b/>
          <w:bCs/>
          <w:i w:val="false"/>
          <w:iCs w:val="false"/>
          <w:color w:val="1A5276"/>
          <w:sz w:val="21"/>
          <w:szCs w:val="21"/>
        </w:rPr>
        <w:t xml:space="preserve">Canales de comunicación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00"/>
        <w:gridCol w:w="6560"/>
      </w:tblGrid>
      <w:tr>
        <w:tc>
          <w:tcPr>
            <w:shd w:fill="D5E8F0" w:color="auto" w:val="clear"/>
            <w:tcMar>
              <w:top w:type="dxa" w:w="60"/>
              <w:left w:type="dxa" w:w="120"/>
              <w:bottom w:type="dxa" w:w="60"/>
              <w:right w:type="dxa" w:w="80"/>
            </w:tcMar>
          </w:tcPr>
          <w:p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A1A1A"/>
                <w:sz w:val="18"/>
                <w:szCs w:val="18"/>
              </w:rPr>
              <w:t xml:space="preserve">Dudas académicas</w:t>
            </w:r>
          </w:p>
        </w:tc>
        <w:tc>
          <w:tcPr>
            <w:shd w:fill="FFFFFF" w:color="auto" w:val="clear"/>
            <w:tcMar>
              <w:top w:type="dxa" w:w="60"/>
              <w:left w:type="dxa" w:w="12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>hola@aprendoconingenio.tech — 24-48h hábiles</w:t>
            </w:r>
          </w:p>
        </w:tc>
      </w:tr>
      <w:tr>
        <w:tc>
          <w:tcPr>
            <w:shd w:fill="E8F4F8" w:color="auto" w:val="clear"/>
            <w:tcMar>
              <w:top w:type="dxa" w:w="60"/>
              <w:left w:type="dxa" w:w="120"/>
              <w:bottom w:type="dxa" w:w="60"/>
              <w:right w:type="dxa" w:w="80"/>
            </w:tcMar>
          </w:tcPr>
          <w:p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A1A1A"/>
                <w:sz w:val="18"/>
                <w:szCs w:val="18"/>
              </w:rPr>
              <w:t xml:space="preserve">Urgencias y consultas rápidas</w:t>
            </w:r>
          </w:p>
        </w:tc>
        <w:tc>
          <w:tcPr>
            <w:shd w:fill="F5F7FA" w:color="auto" w:val="clear"/>
            <w:tcMar>
              <w:top w:type="dxa" w:w="60"/>
              <w:left w:type="dxa" w:w="12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>WhatsApp +507 6300-0292 — L-V 8am-5pm Panamá</w:t>
            </w:r>
          </w:p>
        </w:tc>
      </w:tr>
      <w:tr>
        <w:tc>
          <w:tcPr>
            <w:shd w:fill="D5E8F0" w:color="auto" w:val="clear"/>
            <w:tcMar>
              <w:top w:type="dxa" w:w="60"/>
              <w:left w:type="dxa" w:w="120"/>
              <w:bottom w:type="dxa" w:w="60"/>
              <w:right w:type="dxa" w:w="80"/>
            </w:tcMar>
          </w:tcPr>
          <w:p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A1A1A"/>
                <w:sz w:val="18"/>
                <w:szCs w:val="18"/>
              </w:rPr>
              <w:t xml:space="preserve">Pagos y facturación</w:t>
            </w:r>
          </w:p>
        </w:tc>
        <w:tc>
          <w:tcPr>
            <w:shd w:fill="FFFFFF" w:color="auto" w:val="clear"/>
            <w:tcMar>
              <w:top w:type="dxa" w:w="60"/>
              <w:left w:type="dxa" w:w="12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>pagos@ingenionic.net — 24-48h hábiles</w:t>
            </w:r>
          </w:p>
        </w:tc>
      </w:tr>
      <w:tr>
        <w:tc>
          <w:tcPr>
            <w:shd w:fill="E8F4F8" w:color="auto" w:val="clear"/>
            <w:tcMar>
              <w:top w:type="dxa" w:w="60"/>
              <w:left w:type="dxa" w:w="120"/>
              <w:bottom w:type="dxa" w:w="60"/>
              <w:right w:type="dxa" w:w="80"/>
            </w:tcMar>
          </w:tcPr>
          <w:p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A1A1A"/>
                <w:sz w:val="18"/>
                <w:szCs w:val="18"/>
              </w:rPr>
              <w:t xml:space="preserve">Extensiones y solicitudes</w:t>
            </w:r>
          </w:p>
        </w:tc>
        <w:tc>
          <w:tcPr>
            <w:shd w:fill="F5F7FA" w:color="auto" w:val="clear"/>
            <w:tcMar>
              <w:top w:type="dxa" w:w="60"/>
              <w:left w:type="dxa" w:w="12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>hola@aprendoconingenio.tech — solicitar ANTES de la fecha límite</w:t>
            </w:r>
          </w:p>
        </w:tc>
      </w:tr>
      <w:tr>
        <w:tc>
          <w:tcPr>
            <w:shd w:fill="D5E8F0" w:color="auto" w:val="clear"/>
            <w:tcMar>
              <w:top w:type="dxa" w:w="60"/>
              <w:left w:type="dxa" w:w="120"/>
              <w:bottom w:type="dxa" w:w="60"/>
              <w:right w:type="dxa" w:w="80"/>
            </w:tcMar>
          </w:tcPr>
          <w:p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A1A1A"/>
                <w:sz w:val="18"/>
                <w:szCs w:val="18"/>
              </w:rPr>
              <w:t xml:space="preserve">Privacidad y datos</w:t>
            </w:r>
          </w:p>
        </w:tc>
        <w:tc>
          <w:tcPr>
            <w:shd w:fill="FFFFFF" w:color="auto" w:val="clear"/>
            <w:tcMar>
              <w:top w:type="dxa" w:w="60"/>
              <w:left w:type="dxa" w:w="12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A1A1A"/>
                <w:sz w:val="18"/>
                <w:szCs w:val="18"/>
              </w:rPr>
              <w:t xml:space="preserve">privacidad@aprendoconingenio.tech — 5 días hábiles</w:t>
            </w:r>
          </w:p>
        </w:tc>
      </w:tr>
    </w:tbl>
    <w:p>
      <w:pPr>
        <w:spacing w:after="60" w:before="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Borders>
              <w:left w:val="single" w:color="1F3864" w:sz="24"/>
            </w:tcBorders>
            <w:shd w:fill="D5E8F0" w:color="auto" w:val="clear"/>
            <w:tcMar>
              <w:top w:type="dxa" w:w="120"/>
              <w:left w:type="dxa" w:w="200"/>
              <w:bottom w:type="dxa" w:w="120"/>
              <w:right w:type="dxa" w:w="200"/>
            </w:tcMar>
          </w:tcPr>
          <w:p>
            <w:pPr>
              <w:spacing w:after="60" w:before="3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F3864"/>
                <w:sz w:val="18"/>
                <w:szCs w:val="18"/>
              </w:rPr>
              <w:t xml:space="preserve">"La gestión tributaria no se estudia, se ejecuta."</w:t>
            </w:r>
          </w:p>
          <w:p>
            <w:pPr>
              <w:spacing w:after="60" w:before="30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F3864"/>
                <w:sz w:val="18"/>
                <w:szCs w:val="18"/>
              </w:rPr>
              <w:t xml:space="preserve">ACI · aprendoconingenio.tech · hola@aprendoconingenio.tech · +507 6300-0292</w:t>
            </w:r>
          </w:p>
        </w:tc>
      </w:tr>
    </w:tbl>
    <w:sectPr>
      <w:pgSz w:w="12240" w:h="15840" w:orient="portrait"/>
      <w:pgMar w:top="720" w:right="900" w:bottom="72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2026-07-13T17:14:00.012Z</dcterms:created>
  <dcterms:modified xsi:type="dcterms:W3CDTF">2026-07-13T17:14:00.012Z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